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JTAPI/666/2024 vom 28. Juni 2024</w:t>
      </w:r>
    </w:p>
    <w:p>
      <w:r>
        <w:t>GE Cour de justice, 2024-06-28, FR</w:t>
      </w:r>
    </w:p>
    <w:p>
      <w:r>
        <w:rPr>
          <w:b/>
        </w:rPr>
        <w:t xml:space="preserve">Quelle: </w:t>
      </w:r>
      <w:r>
        <w:t>https://mcp.opencaselaw.ch/entscheid/ge_gerichte_JTAPI_666_2024</w:t>
      </w:r>
    </w:p>
    <w:p>
      <w:r>
        <w:t>FR: GE_GERICHTE JTAPI/666/2024 du 28 juin 2024</w:t>
      </w:r>
    </w:p>
    <w:p>
      <w:r>
        <w:t>IT: GE_GERICHTE JTAPI/666/2024 del 28 giugno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 Bien que la recourante ne soit pas la destinataire de la décision querellée rendue par l'OCIRT, il n'en demeure pas moins qu'elle est directement atteinte par son contenu. Elle dispose dès lors d'un intérêt digne de protection à ce qu'elle soit annulée, étant par ailleurs précisé que B______ SA a confirmé vouloir toujours l’engager par courrier du 24 juin 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3.2</w:t>
      </w:r>
    </w:p>
    <w:p>
      <w:r>
        <w:t>; ATA/845/2022 du 23 août 2022 ; ATA/835/2022 du 23 août 2022).</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L'objet du litige est principalement défini par l'objet du recours (ou objet de la contestation), les conclusions de la recourante ou du recourant et, accessoirement,</w:t>
      </w:r>
    </w:p>
    <w:p>
      <w:r>
        <w:t>- 7/15 - A/477/2024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(ATA/4418/2019 du 23 mars 2021, consid.10b; ATA/185/2020 précité consid. 2b).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w:t>
      </w:r>
    </w:p>
    <w:p>
      <w:r>
        <w:rPr>
          <w:b/>
        </w:rPr>
        <w:t>E. 7</w:t>
      </w:r>
    </w:p>
    <w:p>
      <w:r>
        <w:t>En l'espèce, l'objet du litige porte sur le refus de l'OCIRT de délivrer une autorisation de séjour à l’année avec activité lucrative (permis B) à la recourante. Il n'y a ainsi pas lieu d'examiner sa situation sous l'angle du cas de rigueur (art. 30 al. 1 let. b LEI) et/ou de l’art. 8 CEDH, cet examen devant faire l'objet d'une demande propre, traitée par l'OCPM. De même, il ne sera pas entré en matière sur sa requête tendant à l’octroi d’une autorisation de séjour avec activité de courte durée (permis L), celle-ci sortant du cadre de la présente procédure. Eu égard au respect du double degré de juridiction, le tribunal ne saurait en effet se prononcer, en première instance, sur cette demande.</w:t>
      </w:r>
    </w:p>
    <w:p>
      <w:r>
        <w:rPr>
          <w:b/>
        </w:rPr>
        <w:t>E. 8</w:t>
      </w:r>
    </w:p>
    <w:p>
      <w:r>
        <w:t>La recourante reproche à l’OCIRT d’avoir violé son droit d’être entendu en ne mentionnant pas ni ne prenant en compte, les éléments de la réponse de B______ SA du 14 décembre 2023 et en ne motivant pas l’absence d’intérêt économique pour la Suisse retenu dans sa décision. Il n’était pas possible de savoir si l’art. 21 al. 3 LEI avait été pris en compte, lequel permettait l’obtention d’une autorisation sans avoir à respecter l’ordre de priorité.</w:t>
      </w:r>
    </w:p>
    <w:p>
      <w:r>
        <w:rPr>
          <w:b/>
        </w:rPr>
        <w:t>E. 9</w:t>
      </w:r>
    </w:p>
    <w:p>
      <w:r>
        <w:t>Garanti par l'art. 29 al. 2 Cst,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w:t>
      </w:r>
    </w:p>
    <w:p>
      <w:r>
        <w:t>- 8/15 - A/477/2024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10</w:t>
      </w:r>
    </w:p>
    <w:p>
      <w:r>
        <w:t>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n° 1528 ss, p. 509 s ; ATA/523/2016 du 21 juin 2016 consid. 2b).</w:t>
      </w:r>
    </w:p>
    <w:p>
      <w:r>
        <w:rPr>
          <w:b/>
        </w:rPr>
        <w:t>E. 11</w:t>
      </w:r>
    </w:p>
    <w:p>
      <w:r>
        <w:t>Le droit d'être entendu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ATF 137 II 266 consid. 3.2 ; ATF 136 I 229 consid. 5.2 ; ATF 134 I 83 consid. 4.1 ; ATA/967/2016 du 15 novembre 2016 consid. 2b).</w:t>
      </w:r>
    </w:p>
    <w:p>
      <w:r>
        <w:rPr>
          <w:b/>
        </w:rPr>
        <w:t>E. 12</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w:t>
      </w:r>
    </w:p>
    <w:p>
      <w:r>
        <w:t>- 9/15 - A/477/2024 efficacement qu'elle aurait dû pouvoir le faire avant le prononcé de la décision litigieuse (ATA/802/2020 du 25 août 2020 consid. 4c et les références cités). Toute violation des règles impératives de procédure n'entraîne ainsi pas nécessairement l'annulation de la décision contestée. Quant à la nullité absolue,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w:t>
      </w:r>
    </w:p>
    <w:p>
      <w:r>
        <w:rPr>
          <w:b/>
        </w:rPr>
        <w:t>E. 13</w:t>
      </w:r>
    </w:p>
    <w:p>
      <w:r>
        <w:t>En l'espèce, alors même qu’il lui appartenait de motiver sa requête en apportant tous les éléments pertinents, l’OCIRT a dû interpeller le futur employeur de la recourante, par courrier du 6 décembre 2023, afin qu’il explicite sa demande et produise un certain nombre de documents complémentaires. Celui-ci y a répondu le 14 décembre 2023, soit avant que cet office ne prononce sa décision, le 10 janvier 2024, de sorte qu’aucune violation du droit d’être entendu n’est à déplorer à cet égard. Par ailleurs, si certes la décision litigieuse est succincte, elle demeure néanmoins parfaitement claire et ne nécessite pas de plus amples développements. Elle mentionne les bases légales applicables, soit les art. 18 et 21 LEI, ainsi que les motifs de refus. Ces éléments ont d’ailleurs permis à la recourante, sous la plume de son conseil, de motiver son recours de manière complète et, en particulier, d’y exposer de manière approfondie les raisons pour lesquelles elle estimait qu’une autorisation devait lui être délivrée. Dès lors, elle n’a subi aucun préjudice procédural. En tout état, même à supposer qu’une violation de son droit d’être entendu aurait été imputable à l’autorité intimée, ce grief a pu être réparé devant le tribunal et le renvoi de la cause à l’OCIRT constituerait ainsi une vaine formalité. Ce grief d’ordre formel sera dès lors écarté.</w:t>
      </w:r>
    </w:p>
    <w:p>
      <w:r>
        <w:rPr>
          <w:b/>
        </w:rPr>
        <w:t>E. 14</w:t>
      </w:r>
    </w:p>
    <w:p>
      <w:r>
        <w:t>La recourante conteste le refus de l'OCIRT de lui délivrer une autorisation de séjour avec activité lucrative (permis B) auprès de B______ SA, comme « market research analyst and customer excellence service specialist for Russian-speaking markets ».</w:t>
      </w:r>
    </w:p>
    <w:p>
      <w:r>
        <w:rPr>
          <w:b/>
        </w:rPr>
        <w:t>E. 15</w:t>
      </w:r>
    </w:p>
    <w:p>
      <w:r>
        <w:t>La LEI et ses ordonnances règlent l'entrée, le séjour et la sortie des étrangers dont le statut juridique n'est pas réglé par d'autres dispositions du droit fédéral ou par des traités internationaux conclus par la Suisse (art. 1 et 2 LEI), ce qui est le cas pour les ressortissants russes.</w:t>
      </w:r>
    </w:p>
    <w:p>
      <w:r>
        <w:rPr>
          <w:b/>
        </w:rPr>
        <w:t>E. 16</w:t>
      </w:r>
    </w:p>
    <w:p>
      <w:r>
        <w:t>Selon l'art. 11 al. 1 LEI, tout étranger qui entend exercer en Suisse une activité lucrative doit être titulaire d’une autorisation, quelle que soit la durée de son séjour.</w:t>
      </w:r>
    </w:p>
    <w:p>
      <w:r>
        <w:t>- 10/15 - A/477/2024</w:t>
      </w:r>
    </w:p>
    <w:p>
      <w:r>
        <w:rPr>
          <w:b/>
        </w:rPr>
        <w:t>E. 17</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(ATA/362/2019 du 2 avril 2019 ; ATA/494/2017 du 2 mai 2017 consid. 3 : ATA/401/2016 du 10 mai 2016).</w:t>
      </w:r>
    </w:p>
    <w:p>
      <w:r>
        <w:rPr>
          <w:b/>
        </w:rPr>
        <w:t>E. 18</w:t>
      </w:r>
    </w:p>
    <w:p>
      <w:r>
        <w:t>Les autorités compétentes bénéficient d'un large pouvoir d'appréciation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rPr>
          <w:b/>
        </w:rPr>
        <w:t>E. 19</w:t>
      </w:r>
    </w:p>
    <w:p>
      <w:r>
        <w:t>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rPr>
          <w:b/>
        </w:rPr>
        <w:t>E. 20</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w:t>
      </w:r>
    </w:p>
    <w:p>
      <w:r>
        <w:rPr>
          <w:b/>
        </w:rPr>
        <w:t>E. 21</w:t>
      </w:r>
    </w:p>
    <w:p>
      <w:r>
        <w:t>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w:t>
      </w:r>
    </w:p>
    <w:p>
      <w:r>
        <w:rPr>
          <w:b/>
        </w:rPr>
        <w:t>E. 22</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w:t>
      </w:r>
    </w:p>
    <w:p>
      <w:r>
        <w:t>- 11/15 - A/477/2024 travailleurs disponibles sur le marché suisse du travail (ATA/1094/2019 du 25 juin 2019 consid. 5c et les arrêts cités ; directives LEI, ch. 4.3.2.1).</w:t>
      </w:r>
    </w:p>
    <w:p>
      <w:r>
        <w:rPr>
          <w:b/>
        </w:rPr>
        <w:t>E. 23</w:t>
      </w:r>
    </w:p>
    <w:p>
      <w:r>
        <w:t>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w:t>
      </w:r>
    </w:p>
    <w:p>
      <w:r>
        <w:rPr>
          <w:b/>
        </w:rPr>
        <w:t>E. 25</w:t>
      </w:r>
    </w:p>
    <w:p>
      <w:r>
        <w:t>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(ATA/1194/2021 du 9 novembre 2021 consid. 6b ; Minh Son NGUYEN/Cesla AMARELLE, Code annoté de droit des migrations, vol. 2, Loi sur les étrangers, 2017, p. 171 n. 23).</w:t>
      </w:r>
    </w:p>
    <w:p>
      <w:r>
        <w:rPr>
          <w:b/>
        </w:rPr>
        <w:t>E. 26</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w:t>
      </w:r>
    </w:p>
    <w:p>
      <w:r>
        <w:t>- 12/15 - A/477/2024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rPr>
          <w:b/>
        </w:rPr>
        <w:t>E. 27</w:t>
      </w:r>
    </w:p>
    <w:p>
      <w:r>
        <w:t>Une activité lucrative revêt un intérêt économique prépondérant lorsqu'il existe sur le marché du travail un besoin avéré de main-d'oeuvre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C- 674/2011 du 2 mai 2012 consid. 6).</w:t>
      </w:r>
    </w:p>
    <w:p>
      <w:r>
        <w:rPr>
          <w:b/>
        </w:rPr>
        <w:t>E. 28</w:t>
      </w:r>
    </w:p>
    <w:p>
      <w:r>
        <w:t>La dérogation que constitue l'art. 21 al. 3 LEI par rapport à l'al. 1 de cette même disposition implique d'examiner d'abord si l'engagement de la personne concernée répond aux conditions de l'al. 3. C'est seulement si tel n'est pas le cas que l'on examine ensuite si les conditions de l'al. 1 sont réalisées. Par ailleurs, il faut observer que la condition de l'intérêt économique que l'engagement de la personne concernée doit représenter pour la Suisse est une condition préalable à l'engagement de toute personne étrangère (hors UE/AELE), selon ce qui découle de l'art. 18 let. a LEI. Cette condition s'applique ainsi à une admission au sens de l'art. 21 al. 1 LEI, même si elle n'est pas mentionnée par cette disposition. Cela signifie que la notion d'intérêt économique prépondérant spécifiquement mentionnée par l'art. 21 al. 3</w:t>
      </w:r>
    </w:p>
    <w:p>
      <w:r>
        <w:t>- 13/15 - A/477/2024 LEI a une connotation particulière, qui implique que l'engagement de la personne concernée ne doit pas simplement servir les intérêts économiques de la Suisse, mais doit satisfaire à cette exigence dans une mesure remarquable.</w:t>
      </w:r>
    </w:p>
    <w:p>
      <w:r>
        <w:rPr>
          <w:b/>
        </w:rPr>
        <w:t>E. 29</w:t>
      </w:r>
    </w:p>
    <w:p>
      <w:r>
        <w:t>En l'espèce, s'agissant tout d'abord de la dérogation de l’art. 21 al. 3 LEI et de l'intérêt scientifique ou économique prépondérant invoqués par la recourante, si certes l’intéressée est diplômée d’une haute école suisse, son dernier diplôme lui a toutefois été délivré le 17 septembre 2021. Ainsi, lors du dépôt, le 30 novembre 2023, de la demande d'autorisation de séjour avec activité lucrative en sa faveur, le délai de six mois à compter de la fin de sa formation pour trouver une activité lucrative revêtant un intérêt économique ou scientifique prépondérant était largement échu. Par conséquent, l'une des conditions de l'art. 21 al. 3 LEI n'étant pas remplie, il ne se justifiait pas qu'il soit dérogé à l'ordre de priorité prescrit par l'al. 1 de cette même disposition, auquel la demande litigieuse restait dès lors soumise. Reste dès lors à examiner si la demande d'engagement de la recourante respecte les conditions prévues par l'art. 21 al. 1 LEI, telles qu'elles ont été rappelées plus haut. Or, à cet égard, le tribunal ne peut que constater que l'analyse à laquelle a procédé l'OCIRT, qui dispose en la matière d'un large pouvoir d'appréciation, n'apparaît pas inappropriée. En effet, il ne ressort pas du dossier que B______ SA aurait annoncé la vacance du poste à l’OCE et/ou fait des recherches sur le marché suisse ou européen. La recourante ne conteste pas l’absence de démarches de son potentiel employeur, fondant l'essentiel de son argumentation sur le fait que cette exigence n'était pas applicable en raison de la dérogation prévue par l'art. 21 al. 3 LEI. Il en découle que l'existence de recherches nécessaires et suffisantes pour retenir que la condition de l'ordre de priorité est remplie n'a pas été démontrée à satisfaction de droit. L'une des conditions légales cumulatives applicables (art. 18 let. c cum 21 al. 1 LEI) n'ayant pas été respectée, il n'est pas nécessaire d'examiner si les autres conditions sont réalisées. À toutes fins utiles, il sera toutefois relevé qu'aucun élément du dossier ne permet de considérer que l'activité de la recourante au sein de B______ SA pourrait représenter un intérêt économique pour la Suisse au sens de l'art. 18 let. a LEI, tel que défini plus haut, que ce soit en termes de création de places de travail, d'investissements ou de diversification de l'économie régionale, faute de preuves du contraire et étant rappelé qu'il convient de ne pas confondre l'intérêt économique de la Suisse avec celui de cette société à engager la recourante en vue de développer son activité.</w:t>
      </w:r>
    </w:p>
    <w:p>
      <w:r>
        <w:rPr>
          <w:b/>
        </w:rPr>
        <w:t>E. 30</w:t>
      </w:r>
    </w:p>
    <w:p>
      <w:r>
        <w:t>En conclusion, l'autorité intimée n'a ni violé le droit ni excédé son pouvoir d'appréciation en refusant de délivrer à la recourante l’autorisation requise.</w:t>
      </w:r>
    </w:p>
    <w:p>
      <w:r>
        <w:rPr>
          <w:b/>
        </w:rPr>
        <w:t>E. 31</w:t>
      </w:r>
    </w:p>
    <w:p>
      <w:r>
        <w:t>Au vu de ce qui précède, entièrement mal fondé, le recours sera rejeté.</w:t>
      </w:r>
    </w:p>
    <w:p>
      <w:r>
        <w:rPr>
          <w:b/>
        </w:rPr>
        <w:t>E. 32</w:t>
      </w:r>
    </w:p>
    <w:p>
      <w:r>
        <w:t>En application des art. 87 al. 1 LPA et 1 et 2 du règlement sur les frais, émoluments et indemnités en procédure administrative du 30 juillet 1986 (RFPA - E 5 10.03),</w:t>
      </w:r>
    </w:p>
    <w:p>
      <w:r>
        <w:t>- 14/15 - A/477/2024 la recourante, qui succombe, est condamnée au paiement d’un émolument s'élevant à CHF 500.- ; il est couvert par l’avance de frais de même montant versée à la suite du dépôt du recours.</w:t>
      </w:r>
    </w:p>
    <w:p>
      <w:r>
        <w:rPr>
          <w:b/>
        </w:rPr>
        <w:t>E. 33</w:t>
      </w:r>
    </w:p>
    <w:p>
      <w:r>
        <w:t>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- 15/15 - A/477/2024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