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JTAPI/663/2024 vom 27. Juni 2024</w:t>
      </w:r>
    </w:p>
    <w:p>
      <w:r>
        <w:t>GE Cour de justice, 2024-06-27, FR</w:t>
      </w:r>
    </w:p>
    <w:p>
      <w:r>
        <w:rPr>
          <w:b/>
        </w:rPr>
        <w:t xml:space="preserve">Quelle: </w:t>
      </w:r>
      <w:r>
        <w:t>https://mcp.opencaselaw.ch/entscheid/ge_gerichte_JTAPI_663_2024</w:t>
      </w:r>
    </w:p>
    <w:p>
      <w:r>
        <w:t>FR: GE_GERICHTE JTAPI/663/2024 du 27 juin 2024</w:t>
      </w:r>
    </w:p>
    <w:p>
      <w:r>
        <w:t>IT: GE_GERICHTE JTAPI/663/2024 del 27 giugno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w:t>
      </w:r>
    </w:p>
    <w:p>
      <w:r>
        <w:t>- 7/10 - A/2136/2024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25 juin 2024 à 14h30.</w:t>
      </w:r>
    </w:p>
    <w:p>
      <w:r>
        <w:rPr>
          <w:b/>
        </w:rPr>
        <w:t>E. 3</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w:t>
      </w:r>
    </w:p>
    <w:p>
      <w:r>
        <w:rPr>
          <w:b/>
        </w:rPr>
        <w:t>E. 3.1</w:t>
      </w:r>
    </w:p>
    <w:p>
      <w:r>
        <w:t>; 2C_756/2009 du 15 décembre 2009 consid. 2.1).</w:t>
      </w:r>
    </w:p>
    <w:p>
      <w:r>
        <w:rPr>
          <w:b/>
        </w:rPr>
        <w:t>E. 4</w:t>
      </w:r>
    </w:p>
    <w:p>
      <w:r>
        <w:t>Selon l’art. 76 al. 1 let. b LEI, lorsqu'une décision de renvoi ou d'expulsion a été notifiée, l'autorité compétente peut, afin d'en assurer l'exécution, placer la personne concernée en détention administrative, notamment si celle-ci menace sérieusement d'autres personnes ou met gravement en danger leur vie ou leur intégrité corporelle et fait l'objet d'une poursuite pénale ou a été condamnée pour ce motif (ch. 1 renvoyant à l'art. 75 al. 1 let. g LEI).</w:t>
      </w:r>
    </w:p>
    <w:p>
      <w:r>
        <w:rPr>
          <w:b/>
        </w:rPr>
        <w:t>E. 5</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w:t>
      </w:r>
    </w:p>
    <w:p>
      <w:r>
        <w:rPr>
          <w:b/>
        </w:rPr>
        <w:t>E. 6</w:t>
      </w:r>
    </w:p>
    <w:p>
      <w:r>
        <w:t>En l'espèce, M. A______ fait l'objet d'une mesure d'expulsion de Suisse prononcée le 16 novembre 2021 par la Chambre pénale d'appel et de révision du canton de Genève pour une durée de trois ans. De plus, il a été condamné par ordonnance pénale du 14 avril 2024, notamment, pour actes préparatoires à la séquestration ou à l'enlèvement, infraction passible d'une peine privative de cinq ans (art. 260bis al. 1 let. c CP), ce qui est donc un crime.</w:t>
      </w:r>
    </w:p>
    <w:p>
      <w:r>
        <w:rPr>
          <w:b/>
        </w:rPr>
        <w:t>E. 7</w:t>
      </w:r>
    </w:p>
    <w:p>
      <w:r>
        <w:t>Par conséquent, sur le principe, la détention administrative de M. A______ a été prononcée conformément au droit.</w:t>
      </w:r>
    </w:p>
    <w:p>
      <w:r>
        <w:rPr>
          <w:b/>
        </w:rPr>
        <w:t>E. 8</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t>- 8/10 - A/2136/2024</w:t>
      </w:r>
    </w:p>
    <w:p>
      <w:r>
        <w:rPr>
          <w:b/>
        </w:rPr>
        <w:t>E. 9</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10</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11</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12</w:t>
      </w:r>
    </w:p>
    <w:p>
      <w:r>
        <w:t>En l'espèce, M. A______ soutient que son expulsion à destination de l'Irak ne peut être exécutée en raison de la dangerosité de la situation générale dans ce pays et des dangers qui pèsent spécifiquement sur lui au vu des recherches dont il fait l'objet de la part d'une milice chiite. Il se réfère à cet égard aux art. 83 al. 4 LEI et 5 al. 1 de la loi sur l’asile du 26 juin 1998 (LAsi - RS 142.31). Il se réfère également aux constatations faites par le Haut commissariat aux réfugiés sur le fait que les personnes forcées à retourner en Irak seraient exposées à des risques considérables, en particulier celles recherchées par des milices. Il renvoie encore aux conseils pour les voyageurs à destination de l'Irak, mis en ligne par le Département fédéral des affaires étrangères, qui souligne notamment un risque élevé d'enlèvement pouvant entraîner la mort, par des groupes terroristes ou criminels, aussi bien pour les personnes irakiennes que les personnes étrangères. Enfin, il se réfère à la lettre de menace du 19 juillet 2008 qu'il a produite durant l'audience, émanant d'une milice chiite. La question du caractère exigible de l'expulsion de M. A______ à destination de l'Irak a fait l'objet d'une décision de non-report rendue par l'OCPM le 22 décembre 2023 et devenue à priori définitive suite au fait que le recours interjeté par M. A______ contre cette décision auprès de la chambre pénale de recours a été rayée du rôle selon les informations découlant du dossier. Il n'appartient pas au tribunal de céans de se substituer à l'autorité compétente pour examiner cette question, ce d'autant qu'en l'espèce, les circonstances entourant l'issue de la procédure susmentionnée semblent peu claires, en particulier quant à savoir si le droit d'être</w:t>
      </w:r>
    </w:p>
    <w:p>
      <w:r>
        <w:t>- 9/10 - A/2136/2024 entendu de M. A______ a fait l'objet de notification à un mandataire professionnellement qualifié ou si cette notification lui a été directement adressée à Champ-Dollon et s'il a alors eu l'occasion d'en prendre connaissance. Ainsi, il est à tout le moins prématuré que le tribunal examine lui-même une question sur laquelle il n'est pas à priori impossible que M. A______ obtienne d'une manière ou d'une autre un nouvel examen par l'autorité normalement compétente pour cela. Il convient à cet égard de relever qu'en l'état, les autorités chargées d'exécuter l'expulsion de M. A______ ne disposent pas de documents permettant son renvoi immédiat en Irak et que les démarches nécessaires à cette fin sont susceptibles de prendre un certain temps. Quant au fait qu'une mesure moins incisive que la détention administrative permettrait également d'atteindre le but recherché, cela apparaît peu vraisemblable, compte tenu du fait que M. A______ s'est montré à de nombreuses reprises, aussi bien en France qu'en Suisse, très peu respectueux de l'ordre juridique et qu'il a également démontré un tempérament impulsif, qui conduit à douter de sa capacité à agir de manière réfléchie et surtout contre ses intérêts, par simple respect d'une obligation administrative. Il a également souligné qu'il ne représentait pas un danger ou une menace pour la société dans son ensemble, dans la mesure où les infractions pour lesquelles il avait été sanctionné avaient été commises à l'intérieur de son couple. Il s'agit cependant d'une représentation tronquée de la situation, puisqu'il s'est également montré violent à l'égard d'autres personnes que sa conjointe. A cet égard, il existe un intérêt public manifeste à ce que M. A______ puisse être éloigné de Suisse. Enfin, les autorités compétentes ont agi avec diligence et la durée de détention prononcée à l'égard de M. A______ apparaît proportionnée à la durée des démarches qui apparaît à priori nécessaire pour mener à bien ces dernières.</w:t>
      </w:r>
    </w:p>
    <w:p>
      <w:r>
        <w:rPr>
          <w:b/>
        </w:rPr>
        <w:t>E. 13</w:t>
      </w:r>
    </w:p>
    <w:p>
      <w:r>
        <w:t>Au vu de ce qui précède, il y a lieu de confirmer l'ordre de mise en détention administrative de M. A______ pour une durée de deux mois.</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A/2136/2024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