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JTAPI/662/2025 vom 17. Juni 2025</w:t>
      </w:r>
    </w:p>
    <w:p>
      <w:r>
        <w:t>GE Cour de justice, 2025-06-17, FR</w:t>
      </w:r>
    </w:p>
    <w:p>
      <w:r>
        <w:rPr>
          <w:b/>
        </w:rPr>
        <w:t xml:space="preserve">Quelle: </w:t>
      </w:r>
      <w:r>
        <w:t>https://mcp.opencaselaw.ch/entscheid/ge_gerichte_JTAPI_662_2025</w:t>
      </w:r>
    </w:p>
    <w:p>
      <w:r>
        <w:t>FR: GE_GERICHTE JTAPI/662/2025 du 17 juin 2025</w:t>
      </w:r>
    </w:p>
    <w:p>
      <w:r>
        <w:t>IT: GE_GERICHTE JTAPI/662/2025 del 17 giugno 2025</w:t>
      </w:r>
    </w:p>
    <w:p>
      <w:pPr>
        <w:pStyle w:val="Heading2"/>
      </w:pPr>
      <w:r>
        <w:t>Erwägungen</w:t>
      </w:r>
    </w:p>
    <w:p>
      <w:r>
        <w:rPr>
          <w:b/>
        </w:rPr>
        <w:t>E. 1</w:t>
      </w:r>
    </w:p>
    <w:p>
      <w:r>
        <w:t>et 116 al. 1 de la loi sur l’organisation judiciaire du 26 septembre 2010 - LOJ - E</w:t>
      </w:r>
    </w:p>
    <w:p>
      <w:r>
        <w:t>- 5/7 - A/2036/2025</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11 juin 2025 est recevable et la décision du tribunal intervient dans le respect du délai légal susmentionné. Le tribunal soulignera tout d’abord que par arrêt du 27 mai 2025 (ATA/601/2025), la chambre administrative a confirmé la détention administrative de M. A______ jusqu’au 1er septembre 2025. Elle a retenu, d’une part, que les conditions légales de la détention étaient réalisées sur la base des art. 75 al. 1 let. h et 76 al. 1 let. b ch. 1 LEI, le précité ayant été condamné pour crime et ayant fait l’objet d’une expulsion pénale prononcée le 17 février 2020 pour une durée de 5 ans et, d’autre part, que la détention administrative de M. A______ respectait le principe de proportionnalité. A ce sujet, la chambre administrative a souligné notamment qu’il n’existait pas de mesure moins contraignante que la détention pour assurer le renvoi de M. A______ en Algérie compte tenu de l’opposition qu’il avait manifestée à plusieurs reprises par rapport au fait de regagner son pays d’origine. La chambre administrative a également pris en considération les problématiques médicales du précité, en écartant le fait qu’elles justifient une mise en liberté. En l’occurrence, M. A______ a formulé sa demande de levée de détention environ deux semaines après cet arrêt en expliquant pour l’essentiel, dans sa demande écrite et à l’occasion de l’audience de ce jour, qu’il était « totalement contre l’idée de partir en Algérie » et qu’il voulait quitter seul le territoire suisse. Ces explications ne remettent absolument pas en question les considérations sur lesquelles la chambre administrative a rendu l’arrêt susmentionné. Elles ne font au contraire que confirmer une fois de plus l’opposition manifestée par M. A______ au fait de retourner dans son pays, du moins sous la contrainte. Quant au fait qu’il serait désormais prêt à retourner en Algérie à condition que cela soit de son propre chef, on ne voit pas en quoi le tribunal pourrait considérer cette déclaration comme</w:t>
      </w:r>
    </w:p>
    <w:p>
      <w:r>
        <w:t>- 6/7 - A/2036/2025 sincère et accorder sa confiance à M. A______, alors que cela fait environ onze ans qu’il demeure en Suisse en ayant l’obligation de retourner dans son pays.</w:t>
      </w:r>
    </w:p>
    <w:p>
      <w:r>
        <w:rPr>
          <w:b/>
        </w:rPr>
        <w:t>E. 4</w:t>
      </w:r>
    </w:p>
    <w:p>
      <w:r>
        <w:t>Au vu de ce qui précède, la demande de mise en liberté sera rejetée. En tant que de besoin, la détention administrative sera confirmée jusqu'au 1er septembre 2025.</w:t>
      </w:r>
    </w:p>
    <w:p>
      <w:r>
        <w:rPr>
          <w:b/>
        </w:rPr>
        <w:t>E. 5</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- 7/7 - A/2036/2025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