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JTAPI/660/2024 vom 27. Juni 2024</w:t>
      </w:r>
    </w:p>
    <w:p>
      <w:r>
        <w:t>GE Cour de justice, 2024-06-27, FR</w:t>
      </w:r>
    </w:p>
    <w:p>
      <w:r>
        <w:rPr>
          <w:b/>
        </w:rPr>
        <w:t xml:space="preserve">Quelle: </w:t>
      </w:r>
      <w:r>
        <w:t>https://mcp.opencaselaw.ch/entscheid/ge_gerichte_JTAPI_660_2024</w:t>
      </w:r>
    </w:p>
    <w:p>
      <w:r>
        <w:t>FR: GE_GERICHTE JTAPI/660/2024 du 27 juin 2024</w:t>
      </w:r>
    </w:p>
    <w:p>
      <w:r>
        <w:t>IT: GE_GERICHTE JTAPI/660/2024 del 27 giugno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Le litige porte sur la conformité au droit du retrait de permis de conduire de la recourante pour une durée de cinq mois.</w:t>
      </w:r>
    </w:p>
    <w:p>
      <w:r>
        <w:rPr>
          <w:b/>
        </w:rPr>
        <w:t>E. 4</w:t>
      </w:r>
    </w:p>
    <w:p>
      <w:r>
        <w:t>Les infractions à la LCR sont réparties en fonction de leur gravité en trois catégories distinctes, assorties de mesures administratives minimales : les infractions légères, moyennement graves et graves (art. 16a à 16c LCR). Les principes relatifs aux retraits de permis de conduire d'admonestation sont appliqués en fonction de la mise en danger créée par l'infraction (ATA/25/2015 du</w:t>
      </w:r>
    </w:p>
    <w:p>
      <w:r>
        <w:rPr>
          <w:b/>
        </w:rPr>
        <w:t>E. 6</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phr. 1 LCR). Conformément à la jurisprudence, l'infraction grave de l'art. 16c LCR correspond à la violation grave d'une règle de la circulation routière de l'art. 90 al. 2 LCR (ATF 132 II 234 consid. 3 ; arrêt du Tribunal fédéral 1C_402/2015 du 10 février 2016 consid. 2.1).</w:t>
      </w:r>
    </w:p>
    <w:p>
      <w:r>
        <w:rPr>
          <w:b/>
        </w:rPr>
        <w:t>E. 7</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 jurisprudence ne</w:t>
      </w:r>
    </w:p>
    <w:p>
      <w:r>
        <w:t>- 6/8 - A/3667/2023 dispense toutefois pas l'autorité de tout examen des circonstances du cas concret ; d'une part, l'importance de la mise en danger et celle de la faute doivent être appréciées, afin de déterminer quelle doit être la durée du retrait ;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6B_464/2015 du</w:t>
      </w:r>
    </w:p>
    <w:p>
      <w:r>
        <w:rPr>
          <w:b/>
        </w:rPr>
        <w:t>E. 8</w:t>
      </w:r>
    </w:p>
    <w:p>
      <w:r>
        <w:t>Selon la jurisprudence, la signalisation routière est valable et obligatoire pour les usagers lorsqu'elle a été mise en place sur la base d'une décision et d'une publication conforme de l'autorité compétente. Lorsque la validité formelle de la signalisation n'est pas contestée, les usagers de la route ne sont légitimés à mettre en doute ni son opportunité, ni même sa légalité matérielle, sans quoi la sécurité et la fluidité du trafic pourraient s'en trouver gravement compromises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ou lorsqu'elle prête en soi à confusion au point qu'un usager attentif et de bonne foi ne saurait plus quel comportement adopter (arrêt du Tribunal fédéral 1C_55/2014 du 9 janvier 2015 consid. 3.1 et les références citées).</w:t>
      </w:r>
    </w:p>
    <w:p>
      <w:r>
        <w:rPr>
          <w:b/>
        </w:rPr>
        <w:t>E. 9</w:t>
      </w:r>
    </w:p>
    <w:p>
      <w:r>
        <w:t>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 ATA/645/2016 du 26 juillet 2016 consid. 13 et les références citées ; ATA/287/2014 du 29 avril 2014 consid. 29).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À fortiori, il en va de même des raisons de santé (arrêt du Tribunal fédéral 1C_593/2013 du 25 juin 2013 consid. 2 et les références citées).</w:t>
      </w:r>
    </w:p>
    <w:p>
      <w:r>
        <w:t>- 7/8 - A/3667/2023</w:t>
      </w:r>
    </w:p>
    <w:p>
      <w:r>
        <w:rPr>
          <w:b/>
        </w:rPr>
        <w:t>E. 10</w:t>
      </w:r>
    </w:p>
    <w:p>
      <w:r>
        <w:t>En l'espèce, la recourante ne conteste pas avoir dépassé de 41 km/h la vitesse autorisée, après déduction de 5 km/h de tolérance, ce qui constitue une faute grave au sens de la jurisprudence précitée. En effet, sa faute est objectivement grave, ce qui justifie en soi de s’écarter à la hausse du seuil légal. Elle a effectué un dépassement de très grande importance sur une route à 50km/h en localité, sans aucune justification. Aucun de ses arguments ne permet d'atténuer sa faute, ni de retenir une infraction de moindre gravité que celle découlant de l'application de la jurisprudence constante en matière d'excès de vitesse vu l’importance du dépassement. En effet, la bonne visibilité sur le tronçon de la route rectiligne et sèche, les conditions météorologiques, l’absence de piéton et la brève mise en danger alléguée ne sont pas susceptibles de remettre en cause la gravité de l’infraction, également retenue dans l’ordonnance pénale du 9 janvier 2024 prononcée à son encontre. La recourante ne saurait justifier de besoins professionnels et ce malgré sa fracture du bassin. Domiciliée aux ______[GE] selon l’extrait de l’office cantonal de la population et des migrations (ci-après : OCPM), elle peut aisément utiliser les transports publics pour rencontrer ses clients en Suisse ainsi que le taxi au vu de ses moyens financiers, la peine pécuniaire ayant été fixée à CHF 540.- par le Tribunal de police dans son jugement du 9 janvier 2024. Autre est la question des antécédents. La recourante n’en n’a aucun en Suisse et le fait qu’elle ait échangé son permis de conduire il y a neuf ans n’y change rien. Au regard de la jurisprudence précitée, l’OCV se devait de prendre en considération sa bonne réputation pour fixer la durée du retrait, ce qu’il n’a pas fait, de sorte que la durée du retrait sera réduite à quatre mois.</w:t>
      </w:r>
    </w:p>
    <w:p>
      <w:r>
        <w:rPr>
          <w:b/>
        </w:rPr>
        <w:t>E. 11</w:t>
      </w:r>
    </w:p>
    <w:p>
      <w:r>
        <w:t>Au vu de ce qui précède, dès lors que l'OCV a excédé son pouvoir d'appréciation en rendant la décision querellée, le recours sera partiellement admis et ladite décision partiellement annulée en ce qu'elle prévoit un retrait de permis de cinq mois.</w:t>
      </w:r>
    </w:p>
    <w:p>
      <w:r>
        <w:rPr>
          <w:b/>
        </w:rPr>
        <w:t>E. 12</w:t>
      </w:r>
    </w:p>
    <w:p>
      <w:r>
        <w:t>Vu l'issue de la procédure, un émolument réduit de CHF 400.- sera mis à la charge de la recourante qui obtient partiellement gain de cause (art. 87 al. 1 LPA et 1 et 2 du règlement sur les frais, émoluments et indemnités en procédure administrative du 30 juillet 1986 - RFPA – E 5 10.03).</w:t>
      </w:r>
    </w:p>
    <w:p>
      <w:r>
        <w:rPr>
          <w:b/>
        </w:rPr>
        <w:t>E. 13</w:t>
      </w:r>
    </w:p>
    <w:p>
      <w:r>
        <w:t>Vu l'issue du litige, une indemnité de procédure de CHF 800.-, à la charge de l'État de Genève, soit pour lui l'OCV, sera allouée à la recourante (art. 87 al. 2 à 4 LPA et 6 RFPA).</w:t>
      </w:r>
    </w:p>
    <w:p>
      <w:r>
        <w:t>- 8/8 - A/3667/2023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