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JTAPI/658/2025 vom 16. Juni 2025</w:t>
      </w:r>
    </w:p>
    <w:p>
      <w:r>
        <w:t>GE Cour de justice, 2025-06-16, FR</w:t>
      </w:r>
    </w:p>
    <w:p>
      <w:r>
        <w:rPr>
          <w:b/>
        </w:rPr>
        <w:t xml:space="preserve">Quelle: </w:t>
      </w:r>
      <w:r>
        <w:t>https://mcp.opencaselaw.ch/entscheid/ge_gerichte_JTAPI_658_2025</w:t>
      </w:r>
    </w:p>
    <w:p>
      <w:r>
        <w:t>FR: GE_GERICHTE JTAPI/658/2025 du 16 juin 2025</w:t>
      </w:r>
    </w:p>
    <w:p>
      <w:r>
        <w:t>IT: GE_GERICHTE JTAPI/658/2025 del 16 giugno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Le recours a été déclaré en temps utile, dans les formes prescrites et devant la juridiction compétente au sens des art. 49 LPFisc et 140 LIFD. Sous cet angle, il doit être déclaré recevable.</w:t>
      </w:r>
    </w:p>
    <w:p>
      <w:r>
        <w:rPr>
          <w:b/>
        </w:rPr>
        <w:t>E. 3</w:t>
      </w:r>
    </w:p>
    <w:p>
      <w:r>
        <w:t>À teneur de l’art. 60 al. 1 let. b de la loi genevoise sur la procédure administrative du 12 septembre 1985 (LPA - E 5 10), applicable par renvoi de l’art. 2 al. 2 LPFisc, toute personne qui est touchée directement par une loi constitutionnelle, une loi, un règlement du Conseil d’État ou une décision a un intérêt personnel digne de protection à ce que l’acte soit annulé ou modifié.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n’existe pas lors du dépôt du recours, celui-ci est déclaré irrecevable. S’il s’éteint pendant la procédure, le recours, devenu sans objet, doit être simplement rayé du rôle (ATF 139 I 206 consid. 1.1).</w:t>
      </w:r>
    </w:p>
    <w:p>
      <w:r>
        <w:rPr>
          <w:b/>
        </w:rPr>
        <w:t>E. 4</w:t>
      </w:r>
    </w:p>
    <w:p>
      <w:r>
        <w:t>Un intérêt digne de protection est donné lorsqu’une taxation plus basse est demandée. Exceptionnellement, un intérêt juridique doit être admis même en cas de demande d'augmentation de la taxation, lorsque cela permet de payer moins d'impôts au cours d'une période ultérieure ou d'éviter, par exemple, une procédure de rappel d'impôt ou de soustraction d'impôt. Il existe également un intérêt digne de protection à solliciter une augmentation des éléments imposables en cas de contestation d’une taxation d’office trop basse en cas de double imposition actuelle ou virtuelle ou en cas de concours avec une imposition spéciale. En revanche, l’intérêt général à une imposition conforme à la loi ne suffit pas. En pratique, il n’y a pas d’intérêt à agir lorsque le revenu imposable ou le bénéfice net imposable est fixé à CHF 0.- (ATF 150 II 409 consid. 2.3.2 ; arrêts du Tribunal fédéral 9C_446/2023 du 26 juillet 2023 consid. 2.2.2 ; 2C_1055/2020 du 3 mars 2021</w:t>
      </w:r>
    </w:p>
    <w:p>
      <w:r>
        <w:t>- 6/7 - A/718/2024 consid. 1.2.2.3 ; arrêt du Tribunal administratif du canton de Zurich SB.2020.00082 du 22 octobre 2020 consid. 2.1).</w:t>
      </w:r>
    </w:p>
    <w:p>
      <w:r>
        <w:rPr>
          <w:b/>
        </w:rPr>
        <w:t>E. 5</w:t>
      </w:r>
    </w:p>
    <w:p>
      <w:r>
        <w:t>En l’espèce, à l’appui de sa requête de révision, la recourante produit des projets de comptes 2021 et 2022. Les capitaux propres des bilans de ces années font tous deux état d’une réserve de CHF 750'000.-, qui ne figurait pas dans les comptes transmis initialement à l’AFC-GE. Selon la holding, ces nouveaux comptes sont aptes à démontrer que M. E______ n’a pas réalisé un cas de transposition, de sorte que l’ajout d’un montant de CHF 750'000.- à son revenu se révèle injustifié. Elle dispose dès lors d’un intérêt digne de protection à recourir devant le tribunal. La contribuable ne peut être suivie. Premièrement, l’intéressée ne dispose pas d’un intérêt digne de protection à contester sa taxation fédérale 2021, dès lors que l’IFD ne frappe pas le capital des personnes morales (art. 1 LIFD a contrario) et parce qu’aucun montant d’IFD ne lui est réclamé. Deuxièmement, s’agissant de l’ICC, la société admet que sa conclusion aboutit à un accroissement du montant de ses impôts dus. En effet, elle sollicite une augmentation de ses fonds propres et, partant, de son capital imposable. Elle ne dispose pas non plus d’un intérêt actuel à contester sa taxation cantonale 2021.Il est sans incidence que la charge fiscale supplémentaire induite par l’augmentation des réserves de la recourante serait bien inférieure à l’impôt sur le revenu imputé à M. E______. En effet, la holding et son actionnaire sont deux sujets fiscaux distincts.</w:t>
      </w:r>
    </w:p>
    <w:p>
      <w:r>
        <w:rPr>
          <w:b/>
        </w:rPr>
        <w:t>E. 6</w:t>
      </w:r>
    </w:p>
    <w:p>
      <w:r>
        <w:t>Au vu de ce qui précède, le recours doit être déclaré irrecevable.</w:t>
      </w:r>
    </w:p>
    <w:p>
      <w:r>
        <w:rPr>
          <w:b/>
        </w:rPr>
        <w:t>E. 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- 7/7 - A/718/2024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