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JTAPI/658/2022 vom 13. Juli 2020</w:t>
      </w:r>
    </w:p>
    <w:p>
      <w:r>
        <w:t>GE Cour de justice, 2020-07-13, FR</w:t>
      </w:r>
    </w:p>
    <w:p>
      <w:r>
        <w:rPr>
          <w:b/>
        </w:rPr>
        <w:t xml:space="preserve">Quelle: </w:t>
      </w:r>
      <w:r>
        <w:t>https://mcp.opencaselaw.ch/entscheid/ge_gerichte_JTAPI_658_2022</w:t>
      </w:r>
    </w:p>
    <w:p>
      <w:r>
        <w:t>FR: GE_GERICHTE JTAPI/658/2022 du 13 juillet 2020</w:t>
      </w:r>
    </w:p>
    <w:p>
      <w:r>
        <w:t>IT: GE_GERICHTE JTAPI/658/2022 del 13 luglio 2020</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57,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4.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5</w:t>
      </w:r>
    </w:p>
    <w:p>
      <w:r>
        <w:t>La chambre administrative de la Cour de justice (ci-après : la chambre administrative) et le tribunal accordent généralement une valeur probante aux</w:t>
      </w:r>
    </w:p>
    <w:p>
      <w:r>
        <w:t>- 5/10 - A/460/2022 constatations figurant dans un rapport de police, établi par des agents assermentés (cf. ATA/1411/2017 du 17 octobre 2017 ; ATA/73/2017 du 31 janvier 2017 ; ATA/902/2016 du 25 octobre 2016 ; ATA/99/2014 du 18 février 2014), sauf si des éléments permettent de s’en écarter. Le même raisonnement peut être appliqué aux rapports établis par les agents du département, qui sont des fonctionnaires ayant mandat de veiller à l’application de la loi dans l’exercice de leurs activités (ATA/1411/2017 du 17 octobre 2017 ; ATA/573/2017 du 23 mai 2017).</w:t>
      </w:r>
    </w:p>
    <w:p>
      <w:r>
        <w:rPr>
          <w:b/>
        </w:rPr>
        <w:t>E. 6</w:t>
      </w:r>
    </w:p>
    <w:p>
      <w:r>
        <w:t>M. A______ considère que l'interdiction prononcée par l'OCV serait injustifiée et disproportionnée. Il fait valoir à cet égard que l'usage du téléphone, n'ayant entraîné aucun danger pour la sécurité des autres conducteurs, ne saurait à lui seul constituer une violation des règles de la circulation routière.</w:t>
      </w:r>
    </w:p>
    <w:p>
      <w:r>
        <w:rPr>
          <w:b/>
        </w:rPr>
        <w:t>E. 7</w:t>
      </w:r>
    </w:p>
    <w:p>
      <w:r>
        <w:t>Aux termes de l'art. 26 al. 1 LCR, chacun doit se comporter dans la circulation de manière à ne pas gêner ni mettre en danger ceux qui utilisent la route conformément aux règles établies. Selon l'art. 31 al. 1 LCR, le conducteur doit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w:t>
      </w:r>
    </w:p>
    <w:p>
      <w:r>
        <w:rPr>
          <w:b/>
        </w:rPr>
        <w:t>E. 8</w:t>
      </w:r>
    </w:p>
    <w:p>
      <w:r>
        <w:t>L'art. 3 al. 1 OCR précise que le conducteur vouera son attention à la route et à la circulation ; il évitera toute occupation qui rendrait plus difficile la conduite du véhicule ;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arrêts du Tribunal fédéral 1C_512/2017 du 28 février 2018 consid. 3.2 ; 6B_69/2017 du 28 novembre 2017 consid. 2.2.1). L’attention requise du conducteur implique qu’il soit en mesure de parer rapidement aux dangers qui menacent la vie, l’intégrité corporelle ou les biens matériels d’autrui. Le fait de circuler sur l'autoroute exige une attention particulière de la part du conducteur (cf. arrêt du Tribunal fédéral 6B_565/2010 du 21 octobre 2010 consid. 3.2).</w:t>
      </w:r>
    </w:p>
    <w:p>
      <w:r>
        <w:rPr>
          <w:b/>
        </w:rPr>
        <w:t>E. 9</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w:t>
      </w:r>
    </w:p>
    <w:p>
      <w:r>
        <w:t>- 6/10 - A/460/2022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1C_611/2018 du 18 avril 2019 consid. 2.2 ; 1C_202/2018 du 18 septembre 2018 consid. 2.2 ; 1C_30/2017 du 21 avril 2017 consid. 2.1). Si les faits retenus au pénal lient donc en principe l'autorité et le juge administratifs, il en va différemment des questions de droit, en particulier de l'appréciation de la faute et de la mise en danger (arrêts du Tribunal fédéral 1C_202/2018 du 18 septembre 2018 consid. 2.2 ; 1C_30/2017du 21 avril 2017 consid. 2.2.2 et l'arrêt cité ; 1C_146/2015 du 7 septembre 2015 consid. 2.1 et les arrêts cités). Cela vaut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mais ne peut pas attendre la procédure administrative pour exposer ses arguments (ATF 123 II 97 consid. 3c/aa ; arrêts du Tribunal fédéral 1C_312/2015 du 1er juillet 2015 consid. 3.1 ; 1C_631/2014 du 20 mars 2015 consid. 2.1 ; 1C_708/2013 du 27 février 2014 consid. 3.1 ; 1C_33/2012 du 28 juin 2012 consid. 2.1 ; 1C_502/2011 du 6 mars 2012 consid. 2.1 ; 1C_274/2010 du 7 octobre 2010 consid. 2.1 ; 1C_216/2009 du 14 septembre 2009 consid. 5 ; ATA/172/2012 du 27 mars 2012 ; ATA/576/2011 du 6 septembre 2011 ; ATA/363/2011 du 7 juin 2011).</w:t>
      </w:r>
    </w:p>
    <w:p>
      <w:r>
        <w:rPr>
          <w:b/>
        </w:rPr>
        <w:t>E. 10</w:t>
      </w:r>
    </w:p>
    <w:p>
      <w:r>
        <w:t>En l'espèce, le recourant a été reconnu coupable de violation de la règle générale d'attention durant la conduite prévue à l'art. 3 al. 1 OCR par ordonnance pénale du 22 octobre 2021. N'ayant pas fait usage de la voie de droit qui lui aurait permis de contester cette décision pénale, il n'est plus fondé à nier la réalisation de l'infraction reprochée dans le cadre de la procédure administrative.</w:t>
      </w:r>
    </w:p>
    <w:p>
      <w:r>
        <w:rPr>
          <w:b/>
        </w:rPr>
        <w:t>E. 11</w:t>
      </w:r>
    </w:p>
    <w:p>
      <w:r>
        <w:t>Lorsque la procédure prévue par la loi sur les amendes d’ordre du 24 juin 1970 (LAO - RS 741.03) n’est pas applicable, une infraction aux prescriptions sur la circulation routière entraîne le retrait du permis d’élève-conducteur ou du permis de conduire ou un avertissement (art. 16 al. 2 LCR).</w:t>
      </w:r>
    </w:p>
    <w:p>
      <w:r>
        <w:rPr>
          <w:b/>
        </w:rPr>
        <w:t>E. 12</w:t>
      </w:r>
    </w:p>
    <w:p>
      <w:r>
        <w:t>À teneur de l’art. 42 al. 1 de la convention sur la circulation routière du 8 novembre 1968 (RS 0.741.10), les parties contractantes ou leurs subdivisions</w:t>
      </w:r>
    </w:p>
    <w:p>
      <w:r>
        <w:t>- 7/10 - A/460/2022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de l'ordonnance réglant l’admission des personnes et des véhicules à la circulation routière du 27 octobre 1976 (OAC - RS 741.51) ; ATA/390/2018 du 24 avril 2018 consid. 3b ; ATA/23/2015 du 6 janvier 2015 ; ATA/591/2012 du 4 septembre 2012). Les règles et principes énoncés ci-après sont donc applicables mutatis mutandis à l'interdiction de faire usage du permis de conduire étranger, notamment français, sur le territoire suisse.</w:t>
      </w:r>
    </w:p>
    <w:p>
      <w:r>
        <w:rPr>
          <w:b/>
        </w:rPr>
        <w:t>E. 13</w:t>
      </w:r>
    </w:p>
    <w:p>
      <w:r>
        <w:t>Pour déterminer la durée et s'il y a lieu de prononcer un retrait d’admonestation,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w:t>
      </w:r>
    </w:p>
    <w:p>
      <w:r>
        <w:rPr>
          <w:b/>
        </w:rPr>
        <w:t>E. 14</w:t>
      </w:r>
    </w:p>
    <w:p>
      <w:r>
        <w:t>Une infraction moyennement grave est donnée lorsque la faute du conducteur, soit la mise en danger qu’elle a induite, soit encore l’une et l’autre ne peuvent être qualifiées de légères, sans pour autant être les deux graves (ATF 136 II 447 consid 3.2). Selon la doctrine, l’autorité administrative peut retenir une infraction moyennement grave en fonction d’une constellation allant de la mise en danger légère à la mise en danger grave combinée à une faute légère à moyennement grave (Cédric MIZEL in André BUSSY et al. [éd.], Code suisse de la circulation routière commenté, 4ème éd., 2015, p. 253).</w:t>
      </w:r>
    </w:p>
    <w:p>
      <w:r>
        <w:rPr>
          <w:b/>
        </w:rPr>
        <w:t>E. 15</w:t>
      </w:r>
    </w:p>
    <w:p>
      <w:r>
        <w:t>Le législateur conçoit l'art. 16b al. 1 let. a LCR comme l'élément dit de regroupement. Cette norme n'est ainsi pas applicable aux infractions tombant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w:t>
      </w:r>
    </w:p>
    <w:p>
      <w:r>
        <w:t>- 8/10 - A/460/2022 en danger grave (ATF 135 II 138, consid. 2.2.2 p. 141; ATF 6A.16/2006 du 6 avril 2006, consid. 2.1.1, JdT 2006 I 442).</w:t>
      </w:r>
    </w:p>
    <w:p>
      <w:r>
        <w:rPr>
          <w:b/>
        </w:rPr>
        <w:t>E. 16</w:t>
      </w:r>
    </w:p>
    <w:p>
      <w:r>
        <w:t>En l'occurrence, alors qu'il circulait sur l'autoroute A1, le recourant a entrepris de consulter son téléphone portable aux fins - selon ses explications – de visualiser la direction à emprunter. Selon le rapport de police, alors qu'il progressait à une vitesse de 110 km/h, il regardait l'écran de son téléphone portable qu'il tenait dans la main droite, au centre de l'appareil de direction, sur une distance d'environ 200 m, ne parvenant pas à maintenir une trajectoire rectiligne dans sa voie de circulation. Il résulte de ces constatations que le recourant n'a pas voué toute son attention au trafic. Dans une situation de ce type, le recourant devait emprunter la sortie la plus proche et quitter la circulation avant de consulter son appareil. Regarder l'écran d'un téléphone portable, même brièvement, en se trouvant au volant d'un véhicule automobile, de surcroît sur une autoroute, où les vitesses de circulation sont élevées, constitue une mise en danger qui doit être qualifiée de moyennement grave, même si, au moment des faits, le trafic était de moyenne densité et qu'aucun usager ne semble avoir été gêné. En effet, une mise en danger abstraite du trafic suffit pour qu'une mesure administrative soit prononcée. Quant à la faute commise, force est de constater que c'est volontairement que le recourant a entrepris une activité incompatible avec la conduite. Cette faute est encore aggravée par le fait qu'il circulait sur une autoroute. Le recourant a donc sciemment pris le risque de détourner son attention de la circulation. Il ne pouvait pas ne pas se rendre compte qu'il faisait ainsi courir un risque considérable aux autres usagers qui pouvaient se trouver à proximité de sa trajectoire. Les constatations des agents de police assermentés - que le recourant se contente de contester sans pour autant fournir aucun élément probant à ce sujet – lesquels ont relevé que le véhicule louvoyait, démontre que le recourant n'a pas détourné son attention de la circulation, un bref instant, mais bien un certain laps de temps, estimé à six secondes par l'autorité intimée. C'est dès lors à juste titre que l'autorité intimée a qualifié la faute de circulation du recourant de moyennement grave. Au vu des éléments qui précèdent, c'est à juste titre que l'autorité intimée a retenu une faute de gravité moyenne. Cette appréciation donne lieu à l'application de l'art. 16b al. 1 LCR, l'infraction devant être qualifiée de moyennement grave.</w:t>
      </w:r>
    </w:p>
    <w:p>
      <w:r>
        <w:rPr>
          <w:b/>
        </w:rPr>
        <w:t>E. 17</w:t>
      </w:r>
    </w:p>
    <w:p>
      <w:r>
        <w:t>Après une infraction moyennement grave, le permis de conduire est retiré pour quatre mois au minimum si, au cours des deux années précédentes, le permis a été retiré une fois en raison d'une infraction grave ou moyennement grave (art. 16b al. 2 let. b LCR).</w:t>
      </w:r>
    </w:p>
    <w:p>
      <w:r>
        <w:rPr>
          <w:b/>
        </w:rPr>
        <w:t>E. 18</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w:t>
      </w:r>
    </w:p>
    <w:p>
      <w:r>
        <w:t>- 9/10 - A/460/2022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w:t>
      </w:r>
    </w:p>
    <w:p>
      <w:r>
        <w:rPr>
          <w:b/>
        </w:rPr>
        <w:t>E. 19</w:t>
      </w:r>
    </w:p>
    <w:p>
      <w:r>
        <w:t>En l'occurrence, l'OCV ne s'est pas écarté du minimum légal prévu par l'art. 16b al. 2 let. b LCR en fixant à quatre mois la durée de l'interdiction de faire usage du permis de conduire étranger sur le territoire suisse dès lors que, 13 juillet 2020, le recourant avait fait l'objet d'une première interdiction de faire usage du permis de conduire étranger sur le territoire suisse, pour une durée de quatre mois, en raison d'une infraction grave, mesure dont l'exécution a pris fin le 11 février 2021. Étant lié par cette durée, qui constitue le minimum légal incompressible devant sanctionner l'infraction en cause, l'OCV, qui ne pouvait en aucune manière tenir compte des besoins professionnels allégués par le recourant, a correctement appliqué les règles en vigueur et n'a pas excédé ou abusé de son pouvoir d'appréciation. Il en résulte que sa décision ne peut qu'être confirmée.</w:t>
      </w:r>
    </w:p>
    <w:p>
      <w:r>
        <w:rPr>
          <w:b/>
        </w:rPr>
        <w:t>E. 20</w:t>
      </w:r>
    </w:p>
    <w:p>
      <w:r>
        <w:t>Au vu de ce qui précède, le recours doit être rejeté.</w:t>
      </w:r>
    </w:p>
    <w:p>
      <w:r>
        <w:rPr>
          <w:b/>
        </w:rPr>
        <w:t>E. 21</w:t>
      </w:r>
    </w:p>
    <w:p>
      <w:r>
        <w:t>En application de l'art.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- 10/10 - A/460/2022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