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JTAPI/657/2024 vom 27. Juni 2024</w:t>
      </w:r>
    </w:p>
    <w:p>
      <w:r>
        <w:t>GE Cour de justice, 2024-06-27, FR</w:t>
      </w:r>
    </w:p>
    <w:p>
      <w:r>
        <w:rPr>
          <w:b/>
        </w:rPr>
        <w:t xml:space="preserve">Quelle: </w:t>
      </w:r>
      <w:r>
        <w:t>https://mcp.opencaselaw.ch/entscheid/ge_gerichte_JTAPI_657_2024</w:t>
      </w:r>
    </w:p>
    <w:p>
      <w:r>
        <w:t>FR: GE_GERICHTE JTAPI/657/2024 du 27 juin 2024</w:t>
      </w:r>
    </w:p>
    <w:p>
      <w:r>
        <w:t>IT: GE_GERICHTE JTAPI/657/2024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- 6/13 - A/2856/2023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par la commune sur le territoire de laquelle l’installation litigieuse est destinée à prendre place, le recours est recevable au sens des art. 145 al. 2 LCI et 60,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5</w:t>
      </w:r>
    </w:p>
    <w:p>
      <w:r>
        <w:t>Les arguments formulés par les parties à l’appui de leurs conclusions respectives seront repris et discutés dans la mesure utile (ATF 145 IV 99 consid. 3.1; arrêt du Tribunal fédéral 1C_136/2021 du 13 janvier 2022 consid. 2.1), étant rappelé que, saisi d’un recours, le tribunal applique le droit d’office et que s’il ne peut pas aller au-delà des conclusions des parties, il n’est lié ni par les motifs invoqués par celles- ci (art. 69 al. 1 LPA), ni par leur argumentation juridique (ATA/84/2022 du 1er février 2022 consid. 3).</w:t>
      </w:r>
    </w:p>
    <w:p>
      <w:r>
        <w:rPr>
          <w:b/>
        </w:rPr>
        <w:t>E. 6</w:t>
      </w:r>
    </w:p>
    <w:p>
      <w:r>
        <w:t>Dans un premier grief, la recourante se prévaut d’un vice de forme dans l’autorisation de construire.</w:t>
      </w:r>
    </w:p>
    <w:p>
      <w:r>
        <w:rPr>
          <w:b/>
        </w:rPr>
        <w:t>E. 7</w:t>
      </w:r>
    </w:p>
    <w:p>
      <w:r>
        <w:t>En vertu de l’art. 11 al. 4 RCI, toutes les demandes d’autorisation doivent être datées et signées par le propriétaire de l’immeuble intéressé, ainsi que par le requérant ou l'éventuel mandataire professionnellement qualifié. En l’espèce, la demande d’autorisation de construire litigieuse a été signée par B______ SA, propriétaire et la requérante soit, la SA, de sorte que les exigences de forme prévues par le règlement sont réalisées. F______, en sa qualité d’exploitante de l’installation n’avait aucune obligation légale de signer l’autorisation de construire. Par ailleurs et comme l’a relevé, à juste titre, le département, les conditions liées à l’autorisation de construire doivent être respectées quel que soit l’exploitant de l’antenne projetée. L’absence de signature de la part de F______ ne l’absout en rien dans les obligations contenues dans l’autorisation délivrée, lesquelles devront être strictement respectées.</w:t>
      </w:r>
    </w:p>
    <w:p>
      <w:r>
        <w:t>- 7/13 - A/2856/2023 Partant, ce grief doit être écarté.</w:t>
      </w:r>
    </w:p>
    <w:p>
      <w:r>
        <w:rPr>
          <w:b/>
        </w:rPr>
        <w:t>E. 8</w:t>
      </w:r>
    </w:p>
    <w:p>
      <w:r>
        <w:t>La recourante se plaint également d’une violation du principe de précaution, s'appuyant sur différentes sources, notamment la Newsletter BERENIS de janvier 2021, le rapport de l’Université de Neuchâtel du 18 août 2022 complété le 25 avril 2023 et l’étude menée par la revue K-TIPP publiée le 20 octobre 2021, évoquant les risques pour la santé liés au déploiement de la 5G.</w:t>
      </w:r>
    </w:p>
    <w:p>
      <w:r>
        <w:rPr>
          <w:b/>
        </w:rPr>
        <w:t>E. 9</w:t>
      </w:r>
    </w:p>
    <w:p>
      <w:r>
        <w:t>La Confédération veille à prévenir les atteintes nuisibles ou incommodantes pour l'être humain et son environnement naturel (art. 74 al. 2 de la Constitution fédérale de la Confédération suisse du 18 avril 1999 (Cst - RS 101). Les atteintes qui pourraient devenir nuisibles ou incommodantes seront réduites à titre préventif et assez tôt (art. 1 al. 2 LPE). Les VL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VL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le groupe consultatif d'experts BERENIS et doivent, si nécessaire, adapter les VL à l'état de la science ou de l'expérience (arrêts du Tribunal fédéral 1C_518/2018 du 14 avril 2020 consid. 5.1.1 ; 1C_348/2017 du 21 février 2018 consid. 4 ; 1C_118/2010 du 20 octobre 2010 consid. 4.2.3).</w:t>
      </w:r>
    </w:p>
    <w:p>
      <w:r>
        <w:rPr>
          <w:b/>
        </w:rPr>
        <w:t>E. 10</w:t>
      </w:r>
    </w:p>
    <w:p>
      <w:r>
        <w:t>De jurisprudence constante, le principe de prévention est réputé respecté en cas de conformité de la VLInst dans les LUS où cette valeur s'applique (ATF 126 II 399 consid. 3c ; ATF 133 II 64 consid. 5.2 ; arrêt 1A.68/2005 du 26 janvier 2006 consid. 3.2 in SJ 2006 I 314). Cela étant, vu la marge de manœuvre dont dispose le Conseil fédéral quant à l'établissement des VL,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VL devraient être modifiées (arrêts du Tribunal fédéral 1C_375/2020 du 5 mai 2021 consid. 3.2.5 ; 1C_518/2018 du 14 avril 2020 ; 1C_348/2017 du 21 février 2018 consid. 4.3 ; 1C_323/2017 du 15 janvier 2018 consid. 2.5).</w:t>
      </w:r>
    </w:p>
    <w:p>
      <w:r>
        <w:rPr>
          <w:b/>
        </w:rPr>
        <w:t>E. 11</w:t>
      </w:r>
    </w:p>
    <w:p>
      <w:r>
        <w:t>Selon le rapport de novembre 2019 du groupe de travail « Téléphonie et rayonnement » mandaté par le DETEC, qui prend en considération les rapports d'évaluation publiés depuis 2014, aucun effet sanitaire n'a été prouvé de manière cohérente en dessous des VL fixées dans l'ORNI pour les fréquences de téléphonie mobile utilisées actuellement. Le groupe de travail a constaté que les éléments de</w:t>
      </w:r>
    </w:p>
    <w:p>
      <w:r>
        <w:t>- 8/13 - A/2856/2023 preuves demeuraient insuffisants (DETEC, Rapport « Téléphonie mobile et rayonnement » du 18 novembre 2019, p. 8-9). Il en découle qu'en l'état actuel des connaissances scientifiques, il n'est pas possible d'invoquer le principe de prévention pour s'opposer à la technologie 5G, dès lors que les VL prévues par l'ORNI sont concrètement respectées (ATA/415/2022 du 26 avril 2022 consid. 6).</w:t>
      </w:r>
    </w:p>
    <w:p>
      <w:r>
        <w:rPr>
          <w:b/>
        </w:rPr>
        <w:t>E. 12</w:t>
      </w:r>
    </w:p>
    <w:p>
      <w:r>
        <w:t>Par ailleurs, la Cour européenne des droits de l’homme a en particulier confirmé, sous l'angle de l'art. 8 de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13</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 (ch. 6 annexe 1 ORNI), les VLInst mentionnées plus haut (ch. 64 annexe 1 ORNI).</w:t>
      </w:r>
    </w:p>
    <w:p>
      <w:r>
        <w:rPr>
          <w:b/>
        </w:rPr>
        <w:t>E. 14</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w:t>
      </w:r>
    </w:p>
    <w:p>
      <w:r>
        <w:rPr>
          <w:b/>
        </w:rPr>
        <w:t>E. 15</w:t>
      </w:r>
    </w:p>
    <w:p>
      <w:r>
        <w:t>Au sens de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rPr>
          <w:b/>
        </w:rPr>
        <w:t>E. 16</w:t>
      </w:r>
    </w:p>
    <w:p>
      <w:r>
        <w:t>Sur cette base, l'OFEV a publié le 23 février 2021 un document intitulé « Explications concernant les antennes adaptatives et leur évaluation selon l’ORNI » (ci-après: explications OFEV - https://www.newsd.admin.ch/newsd/ message/attachments/65389.pdf;). Il y est expressément indiqué que l'ORNI s’applique aussi bien à la technologie de téléphonie mobile de type 2G (GSM), 3G (UMTS), 4G (LTE) ou 5G (New Radio) (Explications OFEV, p. 3). Aussi en date du 23 février 2021, l'OFEV a publié un complément à la recommandation d'exécution de l'ORNI concernant les stations de base pour téléphonie mobile et raccordements sans fil (WLL) de l'OFEFP (actuellement :</w:t>
      </w:r>
    </w:p>
    <w:p>
      <w:r>
        <w:t>- 9/13 - A/2856/2023 OFEV) de 2002 (ci-après: le complément – https://www.newsd.admin.ch/newsd/message/attachments/65394.pdf).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AQ utilisés par les opérateurs (p. 6).</w:t>
      </w:r>
    </w:p>
    <w:p>
      <w:r>
        <w:rPr>
          <w:b/>
        </w:rPr>
        <w:t>E. 17</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 attachments/71991.pdf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nettement inférieures aux VL, déterminantes en ce qui concerne les effets sur la santé (rapport 2021 sur la 5G, p. 58). Une nouvelle installation de radiocommunications mobiles et son exploitation ne peuvent être approuvées que si, sur la base d'une prévision mathématique, il est assuré que les VL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18</w:t>
      </w:r>
    </w:p>
    <w:p>
      <w:r>
        <w:t>Il est vrai que la prévision calculée qui doit être faite sur la base de ces informations est sujette à certaines incertitudes, car elle prend en compte les principaux facteurs d'influence mais ne tient pas compte de toutes les subtilités de la propagation du</w:t>
      </w:r>
    </w:p>
    <w:p>
      <w:r>
        <w:t>- 10/13 - A/2856/2023 rayonnement. Cependant, le Tribunal fédéral a précisé que dans ce calcul, l'incertitude de mesure ne doit être ni ajoutée ni déduite. Seuls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VL ultérieurement, c'est-à-dire après la mise en service de l'installation (cf. ATF 130 II 32 consid. 2.4).</w:t>
      </w:r>
    </w:p>
    <w:p>
      <w:r>
        <w:rPr>
          <w:b/>
        </w:rPr>
        <w:t>E. 19</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F______ a mis en place un tel système de sécurité.</w:t>
      </w:r>
    </w:p>
    <w:p>
      <w:r>
        <w:rPr>
          <w:b/>
        </w:rPr>
        <w:t>E. 20</w:t>
      </w:r>
    </w:p>
    <w:p>
      <w:r>
        <w:t>Les VL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21</w:t>
      </w:r>
    </w:p>
    <w:p>
      <w:r>
        <w:t>Dans la mesure où la LPE et l'ORNI sont respectés, un projet ne peut être source d'inconvénients graves pour le voisinage au sens de l'art. 14 LCI (ATA/404/2016 du 10 mai 2016 consid. 10 ; ATA/609/2004 du 5 août 2004 consid. 4c).</w:t>
      </w:r>
    </w:p>
    <w:p>
      <w:r>
        <w:rPr>
          <w:b/>
        </w:rPr>
        <w:t>E. 22</w:t>
      </w:r>
    </w:p>
    <w:p>
      <w:r>
        <w:t>Enfin, 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w:t>
      </w:r>
    </w:p>
    <w:p>
      <w:r>
        <w:t>- 11/13 - A/2856/2023 (ATA/332/2022 du 29 mars 2022 consid. 4b ; ATA/1098/2019 du 25 juin 2019 consid. 2e).</w:t>
      </w:r>
    </w:p>
    <w:p>
      <w:r>
        <w:rPr>
          <w:b/>
        </w:rPr>
        <w:t>E. 23</w:t>
      </w:r>
    </w:p>
    <w:p>
      <w:r>
        <w:t>En l'espèce, d'après la fiche de données spécifique au site du 15 décembre 2022 sur laquelle se fonde l’autorisation querellée, la VLInst à respecter est celle prévue par l’ORNI, soit de .0 V/m, ce qui n’est pas contesté par la recourante. S'agissant du rayonnement dans les LUS les plus chargés, toutes les mesures présentent une intensité de champ électrique inférieure à la VLInst fixée à 6.0 V/m, quand bien même ce serait de justesse. Ces mesures ont été vérifiées par le SABRA, autorité spécialisée compétente, sans que celle-ci n'ait mis en doute leur véracité. Partant, en l'absence d'éléments indiquant le contraire, il n'y a pas lieu pour le tribunal de remettre en cause les mesures figurant dans cette fiche, validée par le SABRA, étant rappelé que, conformément à la jurisprudence mentionnée ci-dessus, il appartient au tribunal d’observer une certaine retenue afin d’éviter de substituer sa propre appréciation à celle des instances spécialisées lorsque l’autorité inférieure a suivi l’avis de celles-ci, ce qui est le cas en l’espèce, étant en outre rappelé que l’ensemble des autres instances spécialisées consultées se sont également prononcées favorablement. Globalement, la procédure suivie par le département n'est pas critiquable. Le permis de construire délivré garantit le respect des VL pertinentes, par le biais des conditions associées comprises dans le préavis du SABRA du 12 avril 2023, notamment l’obligation d’effectuer des mesures de contrôle lors de la réception, aux LUS nos 3 à 6, 9 et 11 à 13, où les immissions sont supérieures à 80 % de la VLInst dans des directions proches du rayon principal, conformément à la recommandation de l’ORNI (OFEFP 2002, chap. 2.1.8). A en outre également été requise par ce service l’intégration de cette installation dans le système AQ de M______ SA. Or, c'est précisément ce mécanisme de contrôle rétrospectif qui garantit que les calculs effectués à l'avance pourront être corrigés si nécessaire, au cas où la réalité ultérieure ne correspondrait pas aux hypothèses prévues. Cette façon de procéder respecte les dispositions légales et réglementaires citées plus haut et n’apparaît pas problématique, sauf à partir du postulat, non démontré au demeurant, que l’opérateur concerné ne se conformera pas aux conditions qui lui sont imposées. Il sied à cet égard de préciser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comme le souhaite la recourante. Conformément à la jurisprudence susvisée et dans la mesure où la LPE et l'ORNI sont respectés, le projet autorisé ne peut être considéré comme une source d'inconvénients graves pour le voisinage. Partant, dès lors que les VLInst sont respectées dans le cas d’espèce, il convient d'admettre que le principe de précaution, en lien avec la LPE, n'a pas été violé. Ce</w:t>
      </w:r>
    </w:p>
    <w:p>
      <w:r>
        <w:t>- 12/13 - A/2856/2023 grief sera également rejeté. Dans la mesure où la décision querellée est conforme au droit fédéral.</w:t>
      </w:r>
    </w:p>
    <w:p>
      <w:r>
        <w:rPr>
          <w:b/>
        </w:rPr>
        <w:t>E. 24</w:t>
      </w:r>
    </w:p>
    <w:p>
      <w:r>
        <w:t>Mal fondé, le recours sera rejeté.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rPr>
          <w:b/>
        </w:rPr>
        <w:t>E. 26</w:t>
      </w:r>
    </w:p>
    <w:p>
      <w:r>
        <w:t>Vu l'issue du litige, une indemnité de procédure de CHF 600.-, à la charge de la recourante, sera allouée à la SA. B______ SA n’ayant pas participé à la procédure et n’étant pas représentée par un mandataire, ne se verra alloué aucune indemnité de procédure (art. 87 al. 2 à 4 LPA et 6 RFPA).</w:t>
      </w:r>
    </w:p>
    <w:p>
      <w:r>
        <w:t>- 13/13 - A/2856/2023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