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JTAPI/655/2024 vom 27. Juni 2024</w:t>
      </w:r>
    </w:p>
    <w:p>
      <w:r>
        <w:t>GE Cour de justice, 2024-06-27, FR</w:t>
      </w:r>
    </w:p>
    <w:p>
      <w:r>
        <w:rPr>
          <w:b/>
        </w:rPr>
        <w:t xml:space="preserve">Quelle: </w:t>
      </w:r>
      <w:r>
        <w:t>https://mcp.opencaselaw.ch/entscheid/ge_gerichte_JTAPI_655_2024</w:t>
      </w:r>
    </w:p>
    <w:p>
      <w:r>
        <w:t>FR: GE_GERICHTE JTAPI/655/2024 du 27 juin 2024</w:t>
      </w:r>
    </w:p>
    <w:p>
      <w:r>
        <w:t>IT: GE_GERICHTE JTAPI/655/2024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- 10/28 - A/3570/2023</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59. Néanmoins, toujours selon la jurisprudence constante, l'administration doit faire preuve de sévérité afin d'assurer le respect de la loi et, selon l'art. 47 CP, jouit d'un</w:t>
      </w:r>
    </w:p>
    <w:p>
      <w:r>
        <w:t>- 27/28 - A/3570/2023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60.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61. En l'espèce, il est établi que les objets visés par l'ordre de remise en état ont été réalisés par les recourants, sans autorisation de construire, de sorte que leur faute est manifestement établie. Le principe de l'amende est ainsi fondé. S'agissant du montant des amendes, fixé à CHF 1'000.- chacun, dès lors que les travaux non conformes réalisés n'ont en définitive pas été autorisés par le département, il se situe sur le bas de la fourchette autorisée par la loi, à savoir dans le cas présent un plafond de CHF 150'000.-. Au surplus, les recourants ne démontrent ni ne soutiennent que le paiement de ces amendes les exposerait à des difficultés financières particulières.</w:t>
      </w:r>
    </w:p>
    <w:p>
      <w:r>
        <w:t>Dans ces conditions, force est de constater que le département n'a pas excédé son pouvoir d'appréciation en fixant le montant des amendes à CHF 1'000.- chacun. 62. Mal fondé, le recours sera rejeté. 63.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1'800.- ; il est couvert par les avances de frais versées à la suite du dépôt des recours. Vu l’issue du litige, aucune indemnité de procédure ne sera allouée (art. 87 al. 2 LPA).</w:t>
      </w:r>
    </w:p>
    <w:p>
      <w:r>
        <w:t>- 28/28 - A/3570/2023</w:t>
      </w:r>
    </w:p>
    <w:p>
      <w:r>
        <w:rPr>
          <w:b/>
        </w:rPr>
        <w:t>E. 3</w:t>
      </w:r>
    </w:p>
    <w:p>
      <w:r>
        <w:t>À titre préalable, dans le cadre de la procédure de recours A/10_____, les recourants ont conclu à la jonction de cette dernière avec la procédure A/3570/2024.</w:t>
      </w:r>
    </w:p>
    <w:p>
      <w:r>
        <w:rPr>
          <w:b/>
        </w:rPr>
        <w:t>E. 4</w:t>
      </w:r>
    </w:p>
    <w:p>
      <w:r>
        <w:t>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w:t>
      </w:r>
    </w:p>
    <w:p>
      <w:r>
        <w:rPr>
          <w:b/>
        </w:rPr>
        <w:t>E. 5</w:t>
      </w:r>
    </w:p>
    <w:p>
      <w:r>
        <w:t>En l'occurrence, s'il est certes vrai que ces deux procédures traitent de problématiques juridiques proches, l'une portant sur le refus de régularisation de la situation s'agissant des parcelles nos 1______ et 2______ et la remise en état de la parcelle n° 1______ (A/3570/2023) et l'autre visant l'ordre de remise en état de la parcelle n° 2______ (A/10_____), force est cependant de constater que la procédure A/3570/2024 est en état d'être jugée alors que la procédure A/10_____ a été récemment introduite, de sorte que la situation visée par l'art. 70 al 2 LPA est manifestement donnée. Dans cette mesure, la jonction des causes ne sera pas prononcée.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7</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8</w:t>
      </w:r>
    </w:p>
    <w:p>
      <w:r>
        <w:t>Sous l'angle formel, les recourants prétendent que les décisions querellées auraient été notifiées de manière irrégulière, dès lors que la décision du ______ 2022 a été adressée à M. B______, soit au frère non propriétaire de la parcelle n° 2______, et que l'ordre de remise en état du ______ 2023, adressé à M. A______, mentionnait la date du ______ 2022.</w:t>
      </w:r>
    </w:p>
    <w:p>
      <w:r>
        <w:t>- 11/28 - A/3570/2023</w:t>
      </w:r>
    </w:p>
    <w:p>
      <w:r>
        <w:rPr>
          <w:b/>
        </w:rPr>
        <w:t>E. 9</w:t>
      </w:r>
    </w:p>
    <w:p>
      <w:r>
        <w:t>L'art. 47 LPA prévoit qu'une notification irrégulière ne peut entraîner aucun préjudice pour les parties.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ATA/1299/2020 du 15 décembre 2020 consid. 7 ; ATA/1383/2017 du 10 octobre 2017 consid. 5b).</w:t>
      </w:r>
    </w:p>
    <w:p>
      <w:r>
        <w:rPr>
          <w:b/>
        </w:rPr>
        <w:t>E. 10</w:t>
      </w:r>
    </w:p>
    <w:p>
      <w:r>
        <w:t>En l'espèce, concernant l'erreur d'adressage, force est d'emblée de constater que celle-ci ne concerne que la remise en état de la parcelle n° 2______, laquelle ne constitue pas l'objet du présent litige, mais celui de la procédure A/10_____. Cette question est donc manifestement exorbitante au litige. En tout état, il ressort du dossier que le département a rectifié cette erreur d'adressage en annulant les décisions du ______ 2022 et du ______ 2023 et en prononçant une décision corrigée le ______ 2024, contre laquelle le recourant propriétaire, soit M. A______, a formé recours auprès du tribunal de céans (A/10_____). S'agissant de l'indication d'une date de rédaction erronée, s'il est vrai que la date indiquée est fausse, il ne s'agit manifestement que d'une erreur de plume, puisque le contenu de cette décision reprend à l'identique celui de la décision adressée à M. B______ et indiquant une date de rédaction au ______ 2023, étant précisé que cette indication incorrecte n'a eu aucun effet sur les possibilités de recourir contre la décision querellée. Il en résulte que les irrégularités mentionnées par les recourants ont soit été corrigées, soit sont sans conséquences, de sorte que ce grief ne saurait être admis.</w:t>
      </w:r>
    </w:p>
    <w:p>
      <w:r>
        <w:rPr>
          <w:b/>
        </w:rPr>
        <w:t>E. 11</w:t>
      </w:r>
    </w:p>
    <w:p>
      <w:r>
        <w:t>Au fond, les recourants considèrent que les conditions légales pour l’octroi de l’autorisation de construire qu’ils ont sollicité le ______ 2022 afin de régulariser les diverses installations, soit l'aire de stockage de matériaux de construction, le parcage de véhicules et les clôtures en place pour une durée de 54 mois, qui faisaient notamment l’objet des procédures d'infractions I- 3_____ et I-4______, sont réalisées, ce que le département conteste.</w:t>
      </w:r>
    </w:p>
    <w:p>
      <w:r>
        <w:t>- 12/28 - A/3570/2023</w:t>
      </w:r>
    </w:p>
    <w:p>
      <w:r>
        <w:rPr>
          <w:b/>
        </w:rPr>
        <w:t>E. 12</w:t>
      </w:r>
    </w:p>
    <w:p>
      <w:r>
        <w:t>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Sur le plan cantonal, cette exigence est consacrée à l’art. 1 al. 1 LCI aux termes duquel sur tout le territoire du canton nul ne peut, sans y avoir été autorisé, élever en tout ou partie une construction ou une installation, notamment un bâtiment locatif, industriel ou agricole, une villa, un garage, un hangar, un poulailler, un mur, une clôture ou un portail.</w:t>
      </w:r>
    </w:p>
    <w:p>
      <w:r>
        <w:rPr>
          <w:b/>
        </w:rPr>
        <w:t>E. 13</w:t>
      </w:r>
    </w:p>
    <w:p>
      <w:r>
        <w:t>Aux termes de l’art. 14 LAT, les plans d’affectation règlent le mode d’utilisation du sol (al. 1). Ils délimitent en premier lieu les zones à bâtir, les zones agricoles, les zones à protéger et les autres zones et territoires, prévus par le droit cantonal (al. 2).</w:t>
      </w:r>
    </w:p>
    <w:p>
      <w:r>
        <w:t>Les plans d’affectation ont force obligatoire pour chacun (art. 21 al. 1 LAT). Selon la jurisprudence,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(ATA/332/2022 du 29 mars 2022 consid. 5b et les références citées).</w:t>
      </w:r>
    </w:p>
    <w:p>
      <w:r>
        <w:t>Aux termes de l'art. 12 al. 4 de la loi d’application de la loi fédérale sur l’aménagement du territoire - LaLAT - L 1 30),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d’Etat peut, en vue de la délivrance d’une autorisation de construire, autoriser le département à faire application des normes résultant de la zone de développement, en lieu et place de celles de la zone à laquelle elle se substitue.</w:t>
      </w:r>
    </w:p>
    <w:p>
      <w:r>
        <w:rPr>
          <w:b/>
        </w:rPr>
        <w:t>E. 14</w:t>
      </w:r>
    </w:p>
    <w:p>
      <w:r>
        <w:t>La loi générale sur les zones de développement du 29 juin 1957 (LGZD - L 1 35)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PLQ au sens de l’article 3, assorti d’un règlement (let. a) et des conditions particulières applicables au projet (let. b).</w:t>
      </w:r>
    </w:p>
    <w:p>
      <w:r>
        <w:t>- 13/28 - A/3570/2023 En vertu de l’art. 2 al. 2 LGZD, le Conseil d’État peut, après consultation du conseil administratif ou du maire de la commune, renoncer à l’établissement d’un tel plan selon les hypothèses prévues aux lettres a à e.</w:t>
      </w:r>
    </w:p>
    <w:p>
      <w:r>
        <w:rPr>
          <w:b/>
        </w:rPr>
        <w:t>E. 15</w:t>
      </w:r>
    </w:p>
    <w:p>
      <w:r>
        <w:t>Selon le Tribunal fédéral, le droit fédéral n’impose pas l’établissement d’un PLQ en zone de développement, exigence introduite en droit cantonal par l’art. 2 al. 2 LGZD. Une dérogation à cette obligation peut ainsi de la même manière être introduite par le législateur cantonal, sans pour autant violer le droit fédéral (arrêt du Tribunal fédéral 1C_558/2009 du 25 mai 2010 consid. 3 ; ATA 277/2010 du 27 avril 2010).</w:t>
      </w:r>
    </w:p>
    <w:p>
      <w:r>
        <w:rPr>
          <w:b/>
        </w:rPr>
        <w:t>E. 16</w:t>
      </w:r>
    </w:p>
    <w:p>
      <w:r>
        <w:t>Le régime de la zone de développement vient se « superposer » à la zone préexistante, soit une zone ordinaire. Une fois la loi de déclassement adoptée, le régime de la zone de développement ne se substitue pas immédiatement au régime de la zone ordinaire préexistante. Le propriétaire d'une parcelle sise dans le périmètre concerné ne dispose ainsi pas d'un droit à construire un immeuble en application des normes de la zone de développement. Cela ne sera le cas que lorsque les conditions d'application des normes de la zone de développement auront été remplies et que l'arrêté autorisant l'application des normes de la zone de développement aura été adopté (Mark MÜLLER, Droit genevois de la construction – aménagement, autorisation de construire, droit du logement, rénovation, protection du patrimoine, 2021, p. 32-33).</w:t>
      </w:r>
    </w:p>
    <w:p>
      <w:r>
        <w:rPr>
          <w:b/>
        </w:rPr>
        <w:t>E. 17</w:t>
      </w:r>
    </w:p>
    <w:p>
      <w:r>
        <w:t>Dans un arrêt ATA/752/2014 du 23 septembre 2014 portant sur une autorisation de construire en vue de la modification et de la rénovation d'un rural sis en zone 4B, à laquelle se superposait une zone de développement industrielle et artisanale, la chambre administrative de la Cour de justice (ci-après: chambre administrative) a considéré que, faute de plan d'aménagement spécial concernant la zone litigieuse, la validité de l'autorisation de construire devait s'examiner au regard de la zone de fond 4B.</w:t>
      </w:r>
    </w:p>
    <w:p>
      <w:r>
        <w:t>Le 4 novembre 2014, dans un arrêt ATA/857/2014 concernant l'assujettissement à la loi fédérale sur le droit foncier rural du 4 octobre 1991 (LDFR - RS 211.412.11) d'un immeuble sis en zone de développement avec zone primaire agricole, la chambre administrative a précisé qu'il ressortait tant de la LaLAT que de la LGZD que la délimitation d’une zone de développement par le Grand Conseil ne suffisait pas à elle seule pour l’application des normes de la zone de développement. Ces dernières n'étaient applicables qu’après autorisation du Conseil d’État ou renonciation de ce dernier à l’établissement d’un PLQ. Les normes de la zone primaire restaient donc applicables à la zone de développement constructible aussi longtemps que le Conseil d’État n’avait pas autorisé leur application en approuvant un PLQ, assorti d’un règlement, et les conditions particulières applicables au projet ou renoncé à l’établissement d’un PLQ. Ainsi, un terrain en zone agricole de développement demeurait soumis aux normes applicables à la zone agricole jusqu’à autorisation d’application des normes de la zone de développement par le Conseil d’État ou renonciation à l’établissement d’un PLQ. Préalablement à cette</w:t>
      </w:r>
    </w:p>
    <w:p>
      <w:r>
        <w:t>- 14/28 - A/3570/2023 autorisation ou renonciation, il continuait dès lors à être situé hors zone à bâtir et rentrait dans le champ d’application de la LDFR, à laquelle il restait assujetti.</w:t>
      </w:r>
    </w:p>
    <w:p>
      <w:r>
        <w:rPr>
          <w:b/>
        </w:rPr>
        <w:t>E. 18</w:t>
      </w:r>
    </w:p>
    <w:p>
      <w:r>
        <w:t>al. 2 LAT (ATA/557/2021 précité consid. 5e).</w:t>
      </w:r>
    </w:p>
    <w:p>
      <w:r>
        <w:t>Cette jurisprudence a été régulièrement confirmée par la chambre administrative (ATA/436/2018 du 8 mai 2018 ; ATA/1185/2017 du 22 août 2017, confirmé par l'arrêt du Tribunal fédéral 1C_568/2017 du 7 mars 2019 consid. 2.3.1).</w:t>
      </w:r>
    </w:p>
    <w:p>
      <w:r>
        <w:rPr>
          <w:b/>
        </w:rPr>
        <w:t>E. 19</w:t>
      </w:r>
    </w:p>
    <w:p>
      <w:r>
        <w:t>Plus récemment, le Tribunal fédéral a toutefois précisé que lorsque la zone de fond est agricole, l’octroi d’une dérogation à l’obligation d’adopter un PLQ en application de l’art. 2 al. 2 LGZD pour délivrer directement une autorisation de construire pour un objet relevant d’une zone à bâtir contreviendrait à l’obligation de planifier tirée de l’art. 2 LAT (arrêt du Tribunal fédéral 1C_416/2018 du 15 juillet 2019 consid. 6.2).</w:t>
      </w:r>
    </w:p>
    <w:p>
      <w:r>
        <w:rPr>
          <w:b/>
        </w:rPr>
        <w:t>E. 20</w:t>
      </w:r>
    </w:p>
    <w:p>
      <w:r>
        <w:t>En l'espèce, les parcelles nos 1______ et 2______ sont situées en zone de développement 3, zone de fond agricole. Si un PLQ est certes en cours d'élaboration, conformément à la jurisprudence précitée, les normes de la zone de fond continuent à s'appliquer à toute demande d'autorisation de construire tant qu'un PLQ n'est pas entré en force (art. 2 al. 2 LGZD), étant précisé que, s'agissant d'une zone de fond agricole, une dérogation à l'obligation de PLQ n'entre en tous les cas pas en considération.</w:t>
      </w:r>
    </w:p>
    <w:p>
      <w:r>
        <w:t>Il convient donc à ce stade d'examiner si le projet de régularisation DD 5______ est conforme à la zone de fond agricole, même si dans un avenir plus ou moins proche, les normes de la zone de développement 3 seront manifestement applicables à ces parcelles, une fois le PLQ en vigueur. En cas contraire, il s'agirait ensuite d'examiner s'il peut malgré tout être autorisé sur une base dérogatoire.</w:t>
      </w:r>
    </w:p>
    <w:p>
      <w:r>
        <w:rPr>
          <w:b/>
        </w:rPr>
        <w:t>E. 21</w:t>
      </w:r>
    </w:p>
    <w:p>
      <w:r>
        <w:t>La zone agricole est régie par les art. 16 et 16a LAT ainsi que par les art. 20 ss LaLAT, dispositions définissant notamment les constructions qui sont conformes à la zone, soit qu’elles sont nécessaires à l’exploitation agricole, soit qu’elles servent au développement d’une activité conforme.</w:t>
      </w:r>
    </w:p>
    <w:p>
      <w:r>
        <w:rPr>
          <w:b/>
        </w:rPr>
        <w:t>E. 22</w:t>
      </w:r>
    </w:p>
    <w:p>
      <w:r>
        <w:t>En vertu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w:t>
      </w:r>
    </w:p>
    <w:p>
      <w:r>
        <w:t>- 15/28 - A/3570/2023 agricole ou à l’horticulture productrice et sont nécessaires à l’accomplissement des différentes tâches dévolues à l’agriculture (let. a) et les terrains qui, dans l’intérêt général, doivent être exploités par l’agriculture (let. b).</w:t>
      </w:r>
    </w:p>
    <w:p>
      <w:r>
        <w:rPr>
          <w:b/>
        </w:rPr>
        <w:t>E. 23</w:t>
      </w:r>
    </w:p>
    <w:p>
      <w:r>
        <w:t>À teneur de l’art. 16a LAT, sont conformes à l’affectation de la zone agricole les constructions et installations qui sont nécessaires à l’exploitation agricole ou à l’horticulture productrice (al. 1).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rPr>
          <w:b/>
        </w:rPr>
        <w:t>E. 24</w:t>
      </w:r>
    </w:p>
    <w:p>
      <w:r>
        <w:t>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arrêt du Tribunal fédéral 1C_314/2009 du 12 juillet 2010 consid. 5.1).</w:t>
      </w:r>
    </w:p>
    <w:p>
      <w:r>
        <w:rPr>
          <w:b/>
        </w:rPr>
        <w:t>E. 25</w:t>
      </w:r>
    </w:p>
    <w:p>
      <w:r>
        <w:t>L’art. 34 OAT reprend ces définitions en précisant (al. 1) que sont conformes à l’affectation de la zone agricole les constructions et installations qui servent à l’exploitation tributaire du sol ou au développement interne et en stipulant (al. 4) qu’une autorisation ne peut être délivrée que si la construction ou l’installation est nécessaire à l’exploitation en question, si aucun intérêt prépondérant ne s’oppose à l’implantation de la construction ou de l’installation à l’endroit prévu et s’il est prévisible que l’exploitation pourra subsister à long terme.</w:t>
      </w:r>
    </w:p>
    <w:p>
      <w:r>
        <w:t>L’art. 37 OAT précise que l’édification de constructions et installations destinées à la culture maraîchère et à l’horticulture selon un mode de production indépendant du sol est réputée développement interne (art. 16a al. 2 LAT) si la surface de production indépendante du sol n’excède pas 35% de la surface maraîchère ou horticole cultivée et n’est pas supérieure à 5’000 m2 (al. 1) et que la production est réputée indépendante du sol s’il n’y a pas de lien suffisamment étroit avec le sol (al. 2).</w:t>
      </w:r>
    </w:p>
    <w:p>
      <w:r>
        <w:rPr>
          <w:b/>
        </w:rPr>
        <w:t>E. 26</w:t>
      </w:r>
    </w:p>
    <w:p>
      <w:r>
        <w:t>À Genève, ne sont autorisées en zone agricole que les constructions/installations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27</w:t>
      </w:r>
    </w:p>
    <w:p>
      <w:r>
        <w:t>En matière administrative, les faits doivent en principe être établis d’office et, dans la mesure où l’on peut raisonnablement exiger de l’autorité qu’elle procède à cette recherche, les règles sur la répartition du fardeau de la preuve ne s’appliquent pas.</w:t>
      </w:r>
    </w:p>
    <w:p>
      <w:r>
        <w:t>- 16/28 - A/3570/2023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ATA/654/2023 du 20 juin 2023 consid. 2.3).</w:t>
      </w:r>
    </w:p>
    <w:p>
      <w:r>
        <w:rPr>
          <w:b/>
        </w:rPr>
        <w:t>E. 28</w:t>
      </w:r>
    </w:p>
    <w:p>
      <w:r>
        <w:t>S'agissant des préavis, ils ne lient pas les autorités (art. 3 al. 3 LCI). Selon le système prévu par la LCI, les avis ou préavis des communes, des départements et organismes intéressés n'ont en effet qu'un caractère consultatif et l’autorité reste libre de s’en écarter pour des motifs pertinents et en raison d’un intérêt public supérieur (ATA/51/2013 du 21 janvier 2013 ; ATA/719/2011 du 22 novembre 2011 et les références citées). Néanmoins, lorsque la consultation d'une instance de préavis est imposée par la loi, son préavis a un poids certain dans l'appréciation qu'est amenée à effectuer l'autorité de recours et il convient de ne pas le minimiser (ATA/956/2014 du 2 décembre 2014 ; ATA/902/2004 du 16 novembre 2004 ; ATA/560/2004 du 22 juin 2004 ; ATA/253/1997 du 22 avril 1997.</w:t>
      </w:r>
    </w:p>
    <w:p>
      <w:r>
        <w:rPr>
          <w:b/>
        </w:rPr>
        <w:t>E. 29</w:t>
      </w:r>
    </w:p>
    <w:p>
      <w:r>
        <w:t>En l'espèce, rien n'indique que les installations et constructions litigieuses localisées au nord de la parcelle (S4), soit une aire de stockage de matériaux de construction, le parcage de véhicules et les clôtures en place, serviraient à une quelconque utilisation agricole. Au demeurant, les recourants ne le démontrent pas. Au contraire, il ressort du reportage photographique réalisé par le collaborateur du département qu'il s'agit uniquement de stockage de matériel divers appartenant aux recourants, dans l'attente d'un potentiel déménagement de leur activité à I______, et à la mise à disposition d'un parking. Dans cette mesure, il est manifeste que les installations et constructions visées par la décision querellée ne sont pas conformes à la zone agricole, de sorte que la délivrance d'une autorisation de construire ordinaire n'est pas possible.</w:t>
      </w:r>
    </w:p>
    <w:p>
      <w:r>
        <w:rPr>
          <w:b/>
        </w:rPr>
        <w:t>E. 30</w:t>
      </w:r>
    </w:p>
    <w:p>
      <w:r>
        <w:t>Les conditions de dérogation pour des constructions hors de la zone à bâtir sont prévues par le droit fédéral (art. 24 à 24d LAT). Ces dispositions sont complétées ou reprises par les art. 26, 26A et 27 LaLAT.</w:t>
      </w:r>
    </w:p>
    <w:p>
      <w:r>
        <w:rPr>
          <w:b/>
        </w:rPr>
        <w:t>E. 31</w:t>
      </w:r>
    </w:p>
    <w:p>
      <w:r>
        <w:t>En vertu de l'art. 24 LAT, des autorisations peuvent être délivrées pour des nouvelles constructions ou installations ou pour tout changement d'affectation si l'implantation de ces constructions ou installations hors de la zone à bâtir est imposée par leur destination et si aucun intérêt prépondérant ne s'y oppose.</w:t>
      </w:r>
    </w:p>
    <w:p>
      <w:r>
        <w:rPr>
          <w:b/>
        </w:rPr>
        <w:t>E. 32</w:t>
      </w:r>
    </w:p>
    <w:p>
      <w:r>
        <w:t>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w:t>
      </w:r>
    </w:p>
    <w:p>
      <w:r>
        <w:t>- 17/28 - A/3570/2023 notamment du point de vue de la protection de la nature et des sites et du maintien de la surface agricole utile pour l’entreprise agricole (let. b).</w:t>
      </w:r>
    </w:p>
    <w:p>
      <w:r>
        <w:rPr>
          <w:b/>
        </w:rPr>
        <w:t>E. 33</w:t>
      </w:r>
    </w:p>
    <w:p>
      <w:r>
        <w:t>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 arrêt du Tribunal fédéral 1C_877/2013 du 31 juillet 2014 consid. 3.1.1). L'examen du caractère relativement imposé par sa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ATF 124 II 252 consid. 4a ; ATF 123 II 499 consid. 3b/cc et la référence ; arrêt du Tribunal fédéral 1A.98/2005 du 19 février 2007 consid 3.1 ; ZEN-RUFFINEN, GUY-ECABERT, op. cit., p. 266 n. 575). L'examen du lieu de situation imposé par la destination apparaît incomplet lorsqu'aucune solution alternative ni aucun emplacement alternatif n'ont été débattus (ATF 136 II 214 consid. 2.2 et les références ; arrêt du Tribunal fédéral 1C_877/2013 du 31 juillet 2014 consid. 3.1.1). Son respect revêt donc une importance toute particulière et il y a lieu d'être extrêmement restrictif dans l'admission de dérogations à la règle légale (arrêts du Tribunal fédéral 1C_131/2019 du 17 juin 2019 consid. 3.2.1; 1C_273/2017 du 20 juin 2018 consid. 2.1; 1C_176/2016 du 10 mai 2017 consid. 7.1).</w:t>
      </w:r>
    </w:p>
    <w:p>
      <w:r>
        <w:rPr>
          <w:b/>
        </w:rPr>
        <w:t>E. 34</w:t>
      </w:r>
    </w:p>
    <w:p>
      <w:r>
        <w:t>L'implantation d'un ouvrage peut aussi être imposée par sa destination en raison des nuisances qu'elle provoque, incompatibles avec la zone à bâtir (cf. par exemple ATF 118 Ib 17). Toute immission ne permet toutefois pas de considérer l'implantation d'une construction comme imposée négativement par sa destination : encore faut-il que son ampleur dépasse sensiblement celle qui serait habituelle et réputée tolérable dans une zone à bâtir (Rudolf MUGGLI, in Heinz AEMISEGGER/Pierre MOOR/Alexander RUCH/Pierre TSCHANNEN, Commentaire pratique LAT : Construire hors zone à bâtir, 2017, p. 180 n. 14 ad art. 24 LAT). Compte tenu des multiples possibilités d'utilisation des zones à bâtir existantes, on ne saurait admettre que dans des cas tout à fait exceptionnels que l'implantation d'une construction est imposée négativement par sa destination du fait de l'absence d'une zone à bâtir appropriée (MUGGLI, op. cit. p.180 n. 15 ad art. 24 LAT).</w:t>
      </w:r>
    </w:p>
    <w:p>
      <w:r>
        <w:rPr>
          <w:b/>
        </w:rPr>
        <w:t>E. 35</w:t>
      </w:r>
    </w:p>
    <w:p>
      <w:r>
        <w:t>La pesée des intérêts exigée par l'art. 24 let. b LAT comprend en outre, selon l'art. 3 de l'ordonnance sur l’aménagement du territoire du 28 juin 2000 (OAT - RS 700.1), la détermination de tous les intérêts, publics et privés, touchés par le projet.</w:t>
      </w:r>
    </w:p>
    <w:p>
      <w:r>
        <w:t>- 18/28 - A/3570/2023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 motivée (art. 3 OAT ; arrêt du Tribunal fédéral 1C_877/2013 du 31 juillet 2014 consid. 3.2.1).</w:t>
      </w:r>
    </w:p>
    <w:p>
      <w:r>
        <w:rPr>
          <w:b/>
        </w:rPr>
        <w:t>E. 36</w:t>
      </w:r>
    </w:p>
    <w:p>
      <w:r>
        <w:t>Il ne suffit pas que les activités prévues ne contredisent pas la finalité de la zone, mais il doit exister un lien étroit avec cette finalité (ZEN-RUFFINEN/GUY- ECABERT, op. cit., p. 227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w:t>
      </w:r>
    </w:p>
    <w:p>
      <w:r>
        <w:rPr>
          <w:b/>
        </w:rPr>
        <w:t>E. 37</w:t>
      </w:r>
    </w:p>
    <w:p>
      <w:r>
        <w:t>L'autorité n'est en principe pas tenue d'accorder une dérogation, sauf si ce refus est entaché d'arbitraire, et peut interpréter restrictivement une norme dérogatoire (ATA/690/1999 du 23 novembre 1999 et les références).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du 9 mars 2004).</w:t>
      </w:r>
    </w:p>
    <w:p>
      <w:r>
        <w:rPr>
          <w:b/>
        </w:rPr>
        <w:t>E. 38</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w:t>
      </w:r>
    </w:p>
    <w:p>
      <w:r>
        <w:t>- 19/28 - A/3570/2023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 du 16 décembre 2014 ; ATA/784/2013 du 26 novembre 2013 ; ATA/537/2013 du 27 août 2013 ; ATA/117/2011 du 15 février 2011 ; ATA/51/2006 du 31 janvier 2006 ; ATA/377/2002 du 25 juin 2002).</w:t>
      </w:r>
    </w:p>
    <w:p>
      <w:r>
        <w:rPr>
          <w:b/>
        </w:rPr>
        <w:t>E. 39</w:t>
      </w:r>
    </w:p>
    <w:p>
      <w:r>
        <w:t>En l’espèce, il apparaît que les objets litigieux ne remplissent pas les conditions posées par les art. 24 LAT et 27 LaLAT. Leur implantation n’est en effet pas imposée par leur destination hors de la zone à bâtir, étant précisé que si les recourants indiquent qu'il ne s'agit que d'une zone de dépôt temporaire dans l'attente de leur déménagement à I______, rien ne démontre que des démarches concrètes en ce sens auraient été entreprises, notamment le dépôt d'une autorisation de construire. En tout état, leur présence n’apparaît dictée par aucune nécessité technique, économique ou inhérente à la nature du sol propre à justifier une dérogation générale au sens de l’art. 24 LAT et les recourants ne démontrent pas le contraire. Il sera rappelé à ce titre que, conformément à la jurisprudence précitée, l’application d’une telle dérogation doit être stricte, dès lors que celle-ci contribue à l’objectif de séparation du bâti et du non-bâti. Par ailleurs, ils ne parviennent également pas à démontrer que les aménagements litigieux ne pourraient pas trouver place en zone à bâtir, notamment en raison de nuisances causées incompatibles avec une telle zone d'affectation. Ils n'ont d'ailleurs ni allégué ni démontré qu'ils auraient cherché en vain un autre emplacement en zone à bâtir, étant précisé qu'il en existe manifestement à proximité, notamment dans la ZDIA située à proximité, selon les données librement accessibles sur le Système d'information du territoire à Genève (ci-après: SITG). La situation des recourants n'est ainsi pas constitutive d'un cas tout à fait exceptionnel où l'implantation est imposée négativement par sa destination du fait de l'absence d'une zone à bâtir appropriée. Il ne faut également pas perdre de vue que le refus de délivrance d'autorisation de construire correspond à la feuille de route du ______ 2021 visant à empêcher désormais toute utilisation temporaire de parcelles comprises dans le périmètre du grand projet D______ contraire à l'affectation de la zone ou qui risquerait de constituer un obstacle à la réalisation dudit projet. Enfin, les instances de préavis spécialisées, en particulier l'OU, le GESDEC, l'OCAN et la commune, ont préavisé défavorablement le projet, sans que rien ne permette de penser que leur position serait fondée sur des éléments dénués de pertinence ou contraire aux objectifs poursuivis par le droit public des constructions. Il ne saurait donc être admis que les installations et constructions litigieuses seraient imposées tant positivement que négativement à leur emplacement actuel au sens de</w:t>
      </w:r>
    </w:p>
    <w:p>
      <w:r>
        <w:t>- 20/28 - A/3570/2023 l'art. 24 let. a LAT. Ainsi, dès lors que la première des conditions cumulatives de l'art. 24 LAT n'est manifestement pas remplie, il n'est pas nécessaire d'examiner si la seconde condition est réalisée.</w:t>
      </w:r>
    </w:p>
    <w:p>
      <w:r>
        <w:t>À toutes fins utiles, il sera relevé que les autres dérogations, soit celles des art. 24a, 24b, 24c, 24d et 24e LAT ne sont pas pertinentes en l'espèce. En conséquence, le tribunal parvient à la conclusion que c'est sans commettre d'excès ou d'abus de son pouvoir d'appréciation que le département a refusé de délivrer l'autorisation de construire visant la régularisation des infractions I- 3______ et I-4______.</w:t>
      </w:r>
    </w:p>
    <w:p>
      <w:r>
        <w:rPr>
          <w:b/>
        </w:rPr>
        <w:t>E. 40</w:t>
      </w:r>
    </w:p>
    <w:p>
      <w:r>
        <w:t>Les recourants contestent également l'ordre de rétablir une situation conforme au droit prononcé le ______ 2023 et visant les aménagements réalisés au nord de la parcelle n° 1______.</w:t>
      </w:r>
    </w:p>
    <w:p>
      <w:r>
        <w:rPr>
          <w:b/>
        </w:rPr>
        <w:t>E. 41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42</w:t>
      </w:r>
    </w:p>
    <w:p>
      <w:r>
        <w:t>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étant précisé que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(ATA/ 432/2022 du 26 avril 2022 consid. 2c).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rPr>
          <w:b/>
        </w:rPr>
        <w:t>E. 43</w:t>
      </w:r>
    </w:p>
    <w:p>
      <w:r>
        <w:t>Lorsque des constructions ou des installations illicites sont réalisées en dehors de la zone à bâtir, le droit fédéral exige en principe que soit rétabli un état conforme au droit. Le principe de la séparation de l'espace bâti et non bâti, qui préserve</w:t>
      </w:r>
    </w:p>
    <w:p>
      <w:r>
        <w:t>- 21/28 - A/3570/2023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44</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w:t>
      </w:r>
    </w:p>
    <w:p>
      <w:r>
        <w:t>- 22/28 - A/3570/2023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Le principe de la confiance est toutefois un élément à prendre en considération et non un facteur donnant en tant que tel naissance à un droit (arrêt du Tribunal fédéral 2P.170/2004 du 14 octobre 2004 ; Thierry TANQUEREL, op. cit., n. 569 p. 193 et les références citées).</w:t>
      </w:r>
    </w:p>
    <w:p>
      <w:r>
        <w:rPr>
          <w:b/>
        </w:rPr>
        <w:t>E. 45</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46</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47</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w:t>
      </w:r>
    </w:p>
    <w:p>
      <w:r>
        <w:t>- 23/28 - A/3570/2023 2011 consid. 4.1 et les références citées ; ATA/213/2018 précité consid. 11; ATA/738/2017 précité consid. 8).</w:t>
      </w:r>
    </w:p>
    <w:p>
      <w:r>
        <w:rPr>
          <w:b/>
        </w:rPr>
        <w:t>E. 48</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49</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50</w:t>
      </w:r>
    </w:p>
    <w:p>
      <w:r>
        <w:t>Enfin,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- 24/28 - A/3570/2023 51. En l’occurrence, les recourants, copropriétaires de la parcelle n° 1______ où se situent les objets litigieux, sont à l'évidence à l'origine de la situation, de sorte qu'ils sont perturbateurs par comportement.</w:t>
      </w:r>
    </w:p>
    <w:p>
      <w:r>
        <w:t>Les objets litigieux n’ont pas été autorisés en vertu du droit en vigueur au moment de leur réalisation et n’ont pas été régularisés par la suite. Au surplus, il sera renvoyé aux développements ci-avant quant à leur caractère prétendument autorisable.</w:t>
      </w:r>
    </w:p>
    <w:p>
      <w:r>
        <w:t>La question de la prescription trentenaire ne se pose pas en l’espèce puisqu’elle ne s’applique pas, à teneur de la jurisprudence, hors de la zone à bâtir et que la parcelle en cause se situe en zone agricole.</w:t>
      </w:r>
    </w:p>
    <w:p>
      <w:r>
        <w:t>L’intérêt public au rétablissement d’une situation conforme au droit l’emporte, in casu, sur l’intérêt privé des recourants au maintien des objets en cause. En effet, il existe 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L’intérêt privé des recourants ne l’emporte ainsi manifestement pas sur les intérêts publics précités.</w:t>
      </w:r>
    </w:p>
    <w:p>
      <w:r>
        <w:t>Par ailleurs, les recourants ne peuvent se prévaloir du principe de la bonne foi pour s’opposer à l’ordre de remise en état. En effet, aucun élément du dossier ne permet de retenir que l’autorité intimée n’aurait créé chez eux, par des promesses, des informations, des assurances ou un comportement, des conditions telles qu’elle serait liée par la bonne foi s’agissant des éléments non autorisés identifiés dans la décision querellée. Au surplus, et en tout état, le principe de la confiance n’est qu’un élément à prendre en considération et non un facteur donnant en tant que tel naissance à un droit. Concernant en particulier le contrat de bail conclu avec l'État de Genève, ce rapport contractuel ne porte à l'évidence pas sur la surface S4 où sont situées les installations et constructions visées par l'ordre de remise en état litigieux, de sorte que l'engagement de l'État de Genève portant sur la remise en état de la parcelle à l'échéance du contrat de bail ne portera manifestement pas sur la surface S4, laquelle reste de la responsabilité des recourants. Par ailleurs, ce contrat porte uniquement sur le stockage de terres d'excavation, ce qui diffère clairement des objets visés par l'ordre de remise en état litigieux. Quoiqu'il en soit, même si les conditions pour se prévaloir du principe de la bonne foi étaient réalisées, ce qui n’est pas le cas en l’espèce, cela ne signifierait pas pour autant qu’il faille accepter le maintien en place des objets identifiés, compte tenu des intérêts publics en jeu qui s’y opposent.</w:t>
      </w:r>
    </w:p>
    <w:p>
      <w:r>
        <w:t>Il sied de rappeler que l’ordre de démolir une construction ou un ouvrage édifié sans permis et pour lequel une autorisation ne peut être accordée n’est, en principe, pas contraire au principe de proportionnalité. Aucun élément du dossier ne permet de reverser le constat que les aménagements litigieux ne sont pas conformes à la zone dans laquelle ils se situent, qu’ils ne bénéficient pas de la prescription trentenaire et qu’on ne conçoit pas quelle autre mesure moins incisive que la remise en état ordonnée, aurait pu être adoptée pour rétablir une situation conforme au</w:t>
      </w:r>
    </w:p>
    <w:p>
      <w:r>
        <w:t>- 25/28 - A/3570/2023 droit. L’ordre de remise en état querellé apparaît ainsi proportionné et propre à atteindre le but visé, soit notamment obtenir le respect de la séparation du bâti et du non-bâti en zone agricole. Aucune mesure moins incisive ne permettrait de préserver le principe de la séparation de l’espace bâti et non bâti, étant encore rappelé que la jurisprudence accorde une protection stricte de la zone agricole.</w:t>
      </w:r>
    </w:p>
    <w:p>
      <w:r>
        <w:t>Enfin, le recourant ne conteste pas le délai imparti pour procéder à la remise en état.</w:t>
      </w:r>
    </w:p>
    <w:p>
      <w:r>
        <w:t>En conclusion, l’ordre de remise en conformité au droit respecte le principe de proportionnalité et remplit à l’évidence les conditions posées par la jurisprudence. Il doit ainsi être confirmé, le département n’ayant commis aucun excès ou abus de son pouvoir d’appréciation. 52. Enfin, les recourants contestent les amendes administratives de CHF 1'000.- infligée à chacun d'eux par les décisions du ______ 2023. 53. 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w:t>
      </w:r>
    </w:p>
    <w:p>
      <w:r>
        <w:t>Il est tenu compte, dans la fixation du montant de l'amende, du degré de gravité de l'infraction. La violation des prescriptions par cupidité, ainsi que les cas de récidive constituent notamment des circonstances aggravantes (art. 137 al. 3 LCI). 54. 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w:t>
      </w:r>
    </w:p>
    <w:p>
      <w:r>
        <w:t>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 55.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w:t>
      </w:r>
    </w:p>
    <w:p>
      <w:r>
        <w:t>- 26/28 - A/3570/2023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56. 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57. 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58.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