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JTAPI/653/2025 vom 16. Juni 2025</w:t>
      </w:r>
    </w:p>
    <w:p>
      <w:r>
        <w:t>GE Cour de justice, 2025-06-16, FR</w:t>
      </w:r>
    </w:p>
    <w:p>
      <w:r>
        <w:rPr>
          <w:b/>
        </w:rPr>
        <w:t xml:space="preserve">Quelle: </w:t>
      </w:r>
      <w:r>
        <w:t>https://mcp.opencaselaw.ch/entscheid/ge_gerichte_JTAPI_653_2025</w:t>
      </w:r>
    </w:p>
    <w:p>
      <w:r>
        <w:t>FR: GE_GERICHTE JTAPI/653/2025 du 16 juin 2025</w:t>
      </w:r>
    </w:p>
    <w:p>
      <w:r>
        <w:t>IT: GE_GERICHTE JTAPI/653/2025 del 16 giugno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ATA/172/2012 du 27 mars 2012 ; ATA/363/2011 du 7 juin 2011).</w:t>
      </w:r>
    </w:p>
    <w:p>
      <w:r>
        <w:t>- 6/10 - A/3927/2024</w:t>
      </w:r>
    </w:p>
    <w:p>
      <w:r>
        <w:rPr>
          <w:b/>
        </w:rPr>
        <w:t>E. 2.3</w:t>
      </w:r>
    </w:p>
    <w:p>
      <w:r>
        <w:t>; cf. aussi ATF 1C_585/2008 du 14 mai 2009, consid. 2.1 in fine et la jurisprudence citée)</w:t>
      </w:r>
    </w:p>
    <w:p>
      <w:r>
        <w:t>- 9/10 - A/3927/2024 17. En l'espèce, en conduisant sans permis le 6 juillet 2024, le recourant a commis une faute grave. La décision litigieuse est conforme au droit, sous cet aspect. Cette faute étant consécutive à un retrait de permis prononcé le 22 mars 2021 pour une durée de trois mois en raison d'une infraction grave, la décision de l'autorité est également conforme au droit en tant qu'elle prononce un retrait de permis pour une durée de douze mois. Le recourant invoque un besoin professionnel. Or, en infligeant un retrait d'une durée de douze mois, l'autorité ne s'est pas écartée du minimum légal et en ayant opté pour la durée minimale du retrait, aucune pesée des intérêts ne peut être effectuée permettant la prise en considération de circonstances tels les besoins professionnels du recourant, étant précisé que ces derniers n'ont pas été démontré. Ainsi, le recours ne repose sur aucun motif valable.</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w:t>
      </w:r>
    </w:p>
    <w:p>
      <w:r>
        <w:rPr>
          <w:b/>
        </w:rPr>
        <w:t>E. 4</w:t>
      </w:r>
    </w:p>
    <w:p>
      <w:r>
        <w:t>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w:t>
      </w:r>
    </w:p>
    <w:p>
      <w:r>
        <w:rPr>
          <w:b/>
        </w:rPr>
        <w:t>E. 6</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7</w:t>
      </w:r>
    </w:p>
    <w:p>
      <w:r>
        <w:t>En l'espèce, le recourant a été condamné par ordonnance pénale du 12 décembre 2024 pour avoir circulé au volant d'un véhicule alors qu'il faisait l'objet d'une décision de retrait de son permis de conduire datée du 23 avril 2024 et valable du 18 juin 2024 au 17 juillet 2024. Ladite ordonnance n'ayant pas fait l'objet d'une opposition dans les délais, elle est ainsi entrée en force et peut être assimilée à un jugement en force. Dans le cadre de la présente procédure, le recourant tente en vain de contester la validité de la notification de la décision du 23 avril 2024, indiquant ne pas l'avoir reçue au motif qu'elle avait été envoyée à une adresse incorrecte. Pourtant, le jugement précité constate que la décision de retrait du permis de conduire et ses modalités ont été distribuées à l'adresse de domicile du prévenu le 24 avril 2024. Le tribunal de céans ne saurait s'écarter de cette constatation de fait. Il appartenait cas échéant au recourant de faire opposition à l'ordonnance pénale prononcée à son encontre. De plus, dans le cadre de l'instruction du présent recours, le recourant ne mentionne aucun fait nouveau permettant au juge administratif d'admettre l'existence de constatations qui auraient été inconnues du juge pénal ou qui n'auraient pas été</w:t>
      </w:r>
    </w:p>
    <w:p>
      <w:r>
        <w:t>- 7/10 - A/3927/2024 prises en considération. Au contraire, ses explications ainsi que les pièces versées au dossier confirment l'exactitude des faits ayant mené le juge pénal au constat que la décision du 23 avril 2024 avait été notifiée au recourant. En effet, ce dernier allègue que ladite décision lui aurait été notifiée à une adresse erronée, soit au domicile de son amie, Mme B______, avec laquelle il n'était plus en contact. Pourtant, le 6 juillet 2024, c'est en sa compagnie et au volant de la voiture de celle-ci qu'il a été interpellé. Dans ces circonstances, ces allégations selon lesquelles il n'avait plus de contact avec son amie ne saurait emporter la conviction du tribunal. De plus, l'autorité intimée a démontré que l'adresse à laquelle la décision du 23 avril 2024 a été notifiée était bien celle qui figurait dans leur fichier, et il appartenait cas échéant au recourant de les informer d'un changement d'adresse dans un délai de quatorze jours (art. 26 al. 2 OAC) et non pas à l'OCV de vérifier sa validité, ce d'autant plus que selon les informations à sa disposition, la décision avait été distribuée. Partant, rien ne permet au tribunal de céans de remettre en cause le contenu de l'ordonnance pénale du 12 décembre 2024 reconnaissant le recourant coupable d'avoir, le 6 juillet 2024, aux alentours de 10h00, à tout le moins au passage frontière de Moillesulaz, circulé au volant d'un véhicule automobile, alors qu'il faisait l'objet d'une décision de retrait de son permis de conduire.</w:t>
      </w:r>
    </w:p>
    <w:p>
      <w:r>
        <w:rPr>
          <w:b/>
        </w:rPr>
        <w:t>E. 8</w:t>
      </w:r>
    </w:p>
    <w:p>
      <w:r>
        <w:t>Pour déterminer la durée et s'il y a lieu de prononcer un retrait d'admonestation, la LCR distingue les infractions légères, moyennement graves et graves (art. 16a à 16c LCR).</w:t>
      </w:r>
    </w:p>
    <w:p>
      <w:r>
        <w:rPr>
          <w:b/>
        </w:rPr>
        <w:t>E. 9</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10</w:t>
      </w:r>
    </w:p>
    <w:p>
      <w:r>
        <w:t>A teneur de l'art. 16c al. 1 let. f LCR, la personne qui conduit un véhicule automobile alors que le permis lui a été retiré commet une infraction grave.</w:t>
      </w:r>
    </w:p>
    <w:p>
      <w:r>
        <w:rPr>
          <w:b/>
        </w:rPr>
        <w:t>E. 11</w:t>
      </w:r>
    </w:p>
    <w:p>
      <w:r>
        <w:t>Selon l'alinéa 2 lettre c de cette même disposition,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Selon l'alinéa 3, la durée du retrait du permis en raison d'une infraction visée à l'al. 1 let. f, se substitue à la durée restante du retrait en cours.</w:t>
      </w:r>
    </w:p>
    <w:p>
      <w:r>
        <w:rPr>
          <w:b/>
        </w:rPr>
        <w:t>E. 12</w:t>
      </w:r>
    </w:p>
    <w:p>
      <w:r>
        <w:t>Selon l'art. 16 al. 3 LCR, les circonstances doivent être prises en considération pour fixer la durée du retrait du permis de conduire, notamment l'atteinte à la sécurité routière, la gravité de la faute, les antécédents en tant que conducteur, ainsi que la</w:t>
      </w:r>
    </w:p>
    <w:p>
      <w:r>
        <w:t>- 8/10 - A/3927/2024 nécessité professionnelle de conduire un véhicule automobile. La durée minimale du retrait ne peut toutefois être réduite.</w:t>
      </w:r>
    </w:p>
    <w:p>
      <w:r>
        <w:rPr>
          <w:b/>
        </w:rPr>
        <w:t>E. 13</w:t>
      </w:r>
    </w:p>
    <w:p>
      <w:r>
        <w:t>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w:t>
      </w:r>
    </w:p>
    <w:p>
      <w:r>
        <w:rPr>
          <w:b/>
        </w:rPr>
        <w:t>E. 18</w:t>
      </w:r>
    </w:p>
    <w:p>
      <w:r>
        <w:t>Intégralement mal fondé, le recours sera rejeté.</w:t>
      </w:r>
    </w:p>
    <w:p>
      <w:r>
        <w:rPr>
          <w:b/>
        </w:rPr>
        <w:t>E. 19</w:t>
      </w:r>
    </w:p>
    <w:p>
      <w:r>
        <w:t>Vu l'issue du recours, la question de la recevabilité des nouvelles conclusions formulées par le recourant dans le cadre de sa réplique du 17 février 2025 peut souffrir de rester ouverte.</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750.- ; il est partiellement couvert par l’avance de frais versée à la suite du dépôt du recours. Vu l’issue du litige, aucune indemnité de procédure ne sera allouée (art. 87 al. 2 LPA).</w:t>
      </w:r>
    </w:p>
    <w:p>
      <w:r>
        <w:t>- 10/10 - A/3927/2024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