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JTAPI/651/2022 vom 15. Oktober 2014</w:t>
      </w:r>
    </w:p>
    <w:p>
      <w:r>
        <w:t>GE Cour de justice, 2014-10-15, FR</w:t>
      </w:r>
    </w:p>
    <w:p>
      <w:r>
        <w:rPr>
          <w:b/>
        </w:rPr>
        <w:t xml:space="preserve">Quelle: </w:t>
      </w:r>
      <w:r>
        <w:t>https://mcp.opencaselaw.ch/entscheid/ge_gerichte_JTAPI_651_2022</w:t>
      </w:r>
    </w:p>
    <w:p>
      <w:r>
        <w:t>FR: GE_GERICHTE JTAPI/651/2022 du 15 octobre 2014</w:t>
      </w:r>
    </w:p>
    <w:p>
      <w:r>
        <w:t>IT: GE_GERICHTE JTAPI/651/2022 del 15 ottobre 2014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14 juin 2022 à 11h15.</w:t>
      </w:r>
    </w:p>
    <w:p>
      <w:r>
        <w:rPr>
          <w:b/>
        </w:rPr>
        <w:t>E. 3</w:t>
      </w:r>
    </w:p>
    <w:p>
      <w:r>
        <w:t>La détention administrative porte une atteinte grave à la liberté personnelle et ne peut être ordonnée que dans le respect de l’art. 5 § 1 let. f de la Convention de</w:t>
      </w:r>
    </w:p>
    <w:p>
      <w:r>
        <w:t>- 8/13 - A/1956/2022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5</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w:t>
      </w:r>
    </w:p>
    <w:p>
      <w:r>
        <w:rPr>
          <w:b/>
        </w:rPr>
        <w:t>E. 5.1</w:t>
      </w:r>
    </w:p>
    <w:p>
      <w:r>
        <w:t>; 2C_1072/2015 du 21 décembre 2015 consid. 3.2 et les arrêts cités).</w:t>
      </w:r>
    </w:p>
    <w:p>
      <w:r>
        <w:rPr>
          <w:b/>
        </w:rPr>
        <w:t>E. 6</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w:t>
      </w:r>
    </w:p>
    <w:p>
      <w:r>
        <w:t>- 9/13 - A/1956/2022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À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8</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Les raisons juridiques ou matérielles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(ATF 130 II 56 consid. 4.1.1 et 4.1.3 ; arrêt du Tribunal fédéral 2C_560/2021 du 3 août 2021 consid. 7.1 ; cf. aussi not. arrêts 2C_672/2019 du 22 août 2020 consid. 5.1 ; 2C_672/2019 du 22 août 2019 consid.</w:t>
      </w:r>
    </w:p>
    <w:p>
      <w:r>
        <w:rPr>
          <w:b/>
        </w:rPr>
        <w:t>E. 9</w:t>
      </w:r>
    </w:p>
    <w:p>
      <w:r>
        <w:t>En l'espèce, M. A______ fait l'objet d'une décision de renvoi de Suisse, prononcée le 15 octobre 2014. Il n'a pas quitté le pays dans le délai qui lui avait été imparti. Il séjourne à Genève depuis neuf ans, travaille depuis 2014 auprès de C______ et dispose d'un lieu de résidence fixe et stable depuis plusieurs années, dans lequel il est toujours demeuré joignable. Il s’est par ailleurs toujours rendu aux convocations qui lui ont été adressées. Jusqu’à l’audience devant le tribunal du 14</w:t>
      </w:r>
    </w:p>
    <w:p>
      <w:r>
        <w:t>- 10/13 - A/1956/2022 janvier 2022, l’intéressé a toujours indiqué refuser de se soumettre à la décision de renvoi et à quitter la Suisse pour retourner au Bangladesh et a, dès lors, refusé de prendre place dans l’avion le 13 janvier 2022 à bord duquel une place lui avait été réservée.</w:t>
      </w:r>
    </w:p>
    <w:p>
      <w:r>
        <w:rPr>
          <w:b/>
        </w:rPr>
        <w:t>E. 10</w:t>
      </w:r>
    </w:p>
    <w:p>
      <w:r>
        <w:t>Lors de son audition par le tribunal du 14 janvier 2022, l’intéressé a déclaré être disposé à quitter la Suisse par ses propres moyens : il s’est ainsi engagé à fournir à l’OPCM d’ici au 22 janvier 2022 un billet d’avion valable en vue de son départ à destination de Dhaka au 28 février 2022. C’est ce qu’il a fait le 21 janvier 2021. Cependant, l’intéressé a modifié unilatéralement la date de son départ pour le reporter au 31 mars 2022, contrairement à ses engagements. Le 24 février 2022, il a déposé une demande de régularisation de sa situation par le biais de la délivrance d’une autorisation de séjour en vertu de l’art. 14 al. 2 LAsi tout en indiquant, le 25 février 2022 devant l’OCPM, qu’il était d’accord de quitter la Suisse au plus tard le 31 mars 2022. Il a confirmé maintenir sa demande d’autorisation de séjour, en dépit de son engagement de quitter la Suisse, le 1er mars 2022 à l’OCPM et le 9 mars 2022 devant la Croix-Rouge. Le 22 mars suivant, il a déclaré devant l’OCPM ne plus vouloir organiser de manière volontaire son départ dans son pays d'origine et qu'il ne prendrait pas le vol qu'il avait réservé pour le 31 mars 2022, étant conscient que si une réponse négative à sa demande devait lui parvenir, son départ serait organisé par les services de police et qu'il s'exposerait à de nouvelles mesures de contrainte comme son placement en détention administrative. Il faisait valoir notamment que les 5 et 15 mars 2022, son épouse l’avait contacté par téléphone pour l’informer que la police s’était présentée à leur domicile pour le rechercher. S’il rentrait dans son pays, c’était la prison qui l’attendait. Ces éléments démontrent le comportement pour le moins contradictoire adopté par l’intéressé depuis 2014 et que, depuis en tout cas le 24 février 2022, date du dépôt de la demande de régularisation, l’intéressé, malgré ses déclarations et engagements, n’a pas du tout l’intention de quitter la Suisse et donc de se soumettre à la décision de renvoi.</w:t>
      </w:r>
    </w:p>
    <w:p>
      <w:r>
        <w:rPr>
          <w:b/>
        </w:rPr>
        <w:t>E. 11</w:t>
      </w:r>
    </w:p>
    <w:p>
      <w:r>
        <w:t>Il fait valoir dans la présente procédure le risque accru pour sa vie, laquelle serait menacée du fait de son activité lorsqu’il était journaliste au Bangladesh ; or, force est de constater que cet élément a été pris en considération dans le cadre des diverses procédures engagées par l’intéressé depuis son arrivée en Suisse et en premier lieu par le SEM dans sa décision du 15 octobre 2014. L’intéressé précise aujourd’hui que la police serait venue chez sa femme en tout cas les 5 et 15 mars 2022 pour le chercher. Si certes l’intéressé a faire part de cet élément à l’OCPM – sans toutefois apporter d’éléments concrets à ses dires - lors de son audition le 22 mars 2022 dans le cadre du renvoi, il n’en a aucunement fait part dans le cadre de sa demande de régularisation alors qu’elle était toujours en cours, et que si cet élément a effectivement le poids qu’il prétend et change radicalement la situation</w:t>
      </w:r>
    </w:p>
    <w:p>
      <w:r>
        <w:t>- 11/13 - A/1956/2022 au point que les autorités devraient l’autoriser à rester en Suisse, c’est en premier lieu dans le cadre de cette procédure qu’il aurait dû le faire valoir. Par ailleurs, il sied de relever que le seul document attestant de ces visites au domicile où réside se femme est une attestation de cette dernière, datée du 16 juin 2022, dont la valeur probante doit être relativisée. Au vu de ce qui précède, il apparait aujourd’hui que l’intéressé fait l’objet d’une décision de renvoi en force, que sa demande de régularisation du 24 février 2022, au cours de laquelle il avait la possibilité de faire valoir tous les faits nouveaux intervenus depuis la dernière décision en force a été rejetée en ce sens que l’OCPM n’entend pas faire usage de la possibilité qui lui était donnée de solliciter la régularisation de son séjour auprès du SEM, et qu’aucune autre procédure n’est actuellement en cours concernant sa situation en Suisse. Par ailleurs, son refus clairement affiché pendant des années, puis à nouveau depuis mars 2022 font clairement craindre que s’il était remis en liberté, il se soustrairait à son renvoi qui doit avoir lieu le 11 juillet prochain par un vol avec escorte policière. Les problèmes médicaux dont il a fait état lors de l’audience de ce jour existent depuis 4 ans et sont connus des autorités, lesquelles les ont pris en considération dans leurs diverses décisions. Dès lors, la détention est fondée dans son principe et il n’existe aucun motif permettant de retenir que le renvoi s’avérerait impossible pour des raisons juridiques ou matérielles.</w:t>
      </w:r>
    </w:p>
    <w:p>
      <w:r>
        <w:rPr>
          <w:b/>
        </w:rPr>
        <w:t>E. 12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13</w:t>
      </w:r>
    </w:p>
    <w:p>
      <w:r>
        <w:t>En l’espèce, les autorités ont agi avec diligence et célérité dès lors qu’elles ont réservé une place sur un vol à destination du Bangladesh avec escorte policière pour le 11 juillet 2022 – la première tentative de renvoi de janvier 2022 par vol simple ayant échoué – et que le laissez-passer sera transmis directement à SwissREPAT au moment du départ.</w:t>
      </w:r>
    </w:p>
    <w:p>
      <w:r>
        <w:rPr>
          <w:b/>
        </w:rPr>
        <w:t>E. 14</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w:t>
      </w:r>
    </w:p>
    <w:p>
      <w:r>
        <w:t>- 12/13 - A/1956/2022 documents nécessaires au départ auprès d’un État qui ne fait pas partie des États Schengen prend du retard (art. 79 al. 2 let. b LEI).</w:t>
      </w:r>
    </w:p>
    <w:p>
      <w:r>
        <w:rPr>
          <w:b/>
        </w:rPr>
        <w:t>E. 15</w:t>
      </w:r>
    </w:p>
    <w:p>
      <w:r>
        <w:t>Pour calculer la durée totale d'une détention ordonnée en vertu du droit des étrangers, il faut, en cas de détentions multiples, additionner les durées de détention d'une seule et même procédure de refoulement. En revanche, si la décision de mise en détention intervient dans le cadre d'une nouvelle procédure indépendante des procédures antérieures, les délais légaux recommencent à courir et une détention est à nouveau admissible pour la durée maximale prévue. Il a notamment été jugé qu'il y avait une nouvelle procédure de refoulement lorsqu'une procédure antérieure s'est achevée par un renvoi ou une expulsion réussie ou par un départ volontaire de l'étranger et que, par la suite, celui-ci revient en Suisse et doit être à nouveau renvoyé ou expulsé (cf. ATF 145 II 313 consid. 3.1.2).</w:t>
      </w:r>
    </w:p>
    <w:p>
      <w:r>
        <w:rPr>
          <w:b/>
        </w:rPr>
        <w:t>E. 16</w:t>
      </w:r>
    </w:p>
    <w:p>
      <w:r>
        <w:t>En l’espèce, l’intéressé a subi trois jours de détention en janvier 2022 dans le cadre de sa procédure de renvoi. La présente détention pour une durée de huit semaines parait tout à fait justifiée car elle permet à l’OCPM de tenter de renvoyer l’intéressé par vol du 11 juillet 2022, et, en cas de refus – lequel semble inévitable – d’entamer de nouvelles démarches en vue de la réservation d’une place sur un vol spécial.</w:t>
      </w:r>
    </w:p>
    <w:p>
      <w:r>
        <w:rPr>
          <w:b/>
        </w:rPr>
        <w:t>E. 17</w:t>
      </w:r>
    </w:p>
    <w:p>
      <w:r>
        <w:t>Au vu de ce qui précède, il y a lieu de confirmer l'ordre de mise en détention administrative de M. A______ pour une durée de huit semaines.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- 13/13 - A/1956/2022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