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JTAPI/650/2024 vom 27. Juni 2024</w:t>
      </w:r>
    </w:p>
    <w:p>
      <w:r>
        <w:t>GE Cour de justice, 2024-06-27, FR</w:t>
      </w:r>
    </w:p>
    <w:p>
      <w:r>
        <w:rPr>
          <w:b/>
        </w:rPr>
        <w:t xml:space="preserve">Quelle: </w:t>
      </w:r>
      <w:r>
        <w:t>https://mcp.opencaselaw.ch/entscheid/ge_gerichte_JTAPI_650_2024</w:t>
      </w:r>
    </w:p>
    <w:p>
      <w:r>
        <w:t>FR: GE_GERICHTE JTAPI/650/2024 du 27 juin 2024</w:t>
      </w:r>
    </w:p>
    <w:p>
      <w:r>
        <w:t>IT: GE_GERICHTE JTAPI/650/2024 del 27 giugno 2024</w:t>
      </w:r>
    </w:p>
    <w:p>
      <w:pPr>
        <w:pStyle w:val="Heading2"/>
      </w:pPr>
      <w:r>
        <w:t>Erwägungen</w:t>
      </w:r>
    </w:p>
    <w:p>
      <w:r>
        <w:rPr>
          <w:b/>
        </w:rPr>
        <w:t>E. 18</w:t>
      </w:r>
    </w:p>
    <w:p>
      <w:r>
        <w:t>Le 17 novembre 2023, le département a transmis son dossier au tribunal, accompagné de ses observations. Il a conclu au rejet du recours, ainsi qu'à la confirmation de la décision litigieuse. Le tribunal était en droit d'exiger un retour à l'affectation d'origine des bâtiments, telle que prévue par l'autorisation de construire initiale (DD 4______). En tant que</w:t>
      </w:r>
    </w:p>
    <w:p>
      <w:r>
        <w:t>- 8/16 - A/2886/2023 propriétaire de la parcelle, la recourante était à tout le moins devenue perturbatrice par situation. Quant au changement d'affectation des bâtiments, il était illicite dans la mesure où une partie de ceux-ci était dédiée à l'habitation et une autre à un espace de bureaux, ce qui n'était par ailleurs pas contesté par la recourante. Tel que cela ressortait de la DD 4______, la construction devait pourtant comprendre une remise, sur sa partie gauche (bâtiment n° 3______), et une étable sur sa partie droite (bâtiment n° 2______), toutes deux destinées à l'exploitation d'une activité agricole. Les travaux entrepris par la recourante, qui consistaient à réaménager le logement en deux appartements, ne changeait rien à l'illicéité de l'affectation. La recourante ne pouvait se prévaloir de sa bonne foi et n'avait pas démontré que l'opération d'achat de la parcelle litigieuse se serait basée sur les informations contenues dans le courrier du 4 octobre 2017, dont elle n'était pas destinataire. Elle aurait par ailleurs préalablement pu s'informer au sujet de l'affectation des bâtiments auprès des autorités administratives avant de s'engager. S'agissant de la prescription trentenaire, le projet de modification de loi autorisant le maintien de bâtiments construits illégalement en dehors de la zone à bâtir n'était pas encore entré en vigueur. Le département ne pouvait pas l'appliquer de manière anticipée, ce que la recourante ne contestait pas. Quant à l'inaction du département, elle était insuffisante, à elle seule, pour faire échec à l'ordre d'établir une situation conforme. Finalement, l'intérêt public au respect de la séparation stricte entre la zone à bâtir et la zone non à bâtir devait l'emporter sur l'intérêt privé de la recourante au maintien d'une affectation illicite.</w:t>
      </w:r>
    </w:p>
    <w:p>
      <w:r>
        <w:rPr>
          <w:b/>
        </w:rPr>
        <w:t>E. 19</w:t>
      </w:r>
    </w:p>
    <w:p>
      <w:r>
        <w:t>Le 18 janvier 2024, sous la plume de son conseil, la recourante a répliqué, persistant dans ses développements juridiques et conclusions. La décision du 4 octobre 2017 était claire et se référait au procès-verbal de constat du 18 août 2015, dressé par un huissier judiciaire, lequel attestait des constructions existantes, qui par ailleurs n'avaient subi aucune transformation entre ces deux dates. Le département connaissait donc la nature des bâtiments litigieux, ainsi que leur affectation non agricole, d'autant plus lorsqu'il avait constaté, par exemple, la piscine et la pergola situées contre le bâtiment n° 2______, à l'instar d'autres aménagements extérieurs sans vocation agricole. La décision du 4 octobre 2017 faisait par ailleurs référence à l'art. 4a de l'ordonnance sur le droit foncier rural du 4 octobre 1993 (ODFR - RS 211.412.110), dont l'al. 2 prévoyait que l'autorité compétente en matière d'autorisation au sens de la loi fédérale sur le droit foncier rural du 4 octobre 1991 (LDFR - RS 211.412.11) ne se prononçait que s'il existait une décision exécutoire fondée sur le droit de l'aménagement du territoire et constatant la légalité de l'affectation de la construction ou de l'installation. L'examen du département avait donc bien porté sur l'affectation des constructions litigieuses. Il n'avait toutefois pas abouti à la conclusion de la légalité de l'affectation des</w:t>
      </w:r>
    </w:p>
    <w:p>
      <w:r>
        <w:t>- 9/16 - A/2886/2023 bâtiments, mais à son illicéité, dès lors que le département avait renoncé à exiger la démolition des constructions et installations recensées, par une décision de constatation. S'agissant du reproche qui lui était fait de ne pas avoir démontré que l'acquisition de la parcelle litigieuse était dictée par les assurances contenues dans la décision du 4 octobre 2017, cette preuve était impossible à apporter dans la mesure où son représentant n'avait pas tenu un compte rendu écrit des éléments l'ayant confortée à s'engager dans l'opération d'achat. Quant à la modification législative, le nouveau texte de loi avait été publié dans la Feuille Fédérale le 7 novembre 2023 (FF 2023 2488), le délai référendaire arrivait à échéance le 15 février 2024 et la date d'entrée en vigueur était fixée au 1er février 2025. En l'espèce, il n'était pas question d'une application directe anticipée de la nouvelle base légale. En revanche, il était nécessaire d'en tenir compte, sous l'angle matériel, au regard du principe de proportionnalité et de l'absence d'intérêt public à la mise en œuvre de la décision litigieuse.</w:t>
      </w:r>
    </w:p>
    <w:p>
      <w:r>
        <w:rPr>
          <w:b/>
        </w:rPr>
        <w:t>E. 20</w:t>
      </w:r>
    </w:p>
    <w:p>
      <w:r>
        <w:t>Le 13 février 2024, le département a dupliqué, persistant dans ses conclusions. Dans le cadre de la procédure de désassujettissement (dossier CFA n° 6______), avait indiqué renoncer à exiger la démolition des bâtiments litigieux car il avait par erreur considéré que ceux-ci avaient été érigés depuis plus de trente ans, alors qu'en réalité, ils étaient déjà au bénéfice d'une autorisation de construire (DD 4______), délivrée le ______ 1978, pour l'aménagement d'une étable et d'une remise. Le fait qu'il avait renoncé à la démolition de ces bâtiments ne permettait pas à la recourante de prétendre qu'elle pouvait conserver une affectation qui n'était pas celle autorisée à l'origine, ce d'autant plus qu'elle y avait depuis lors entrepris des travaux sans autorisation. La procédure de désassujettissement s'était limitée à la légalité des bâtiments en ce qui concernait leur construction et non pas leur affectation.</w:t>
      </w:r>
    </w:p>
    <w:p>
      <w:r>
        <w:rPr>
          <w:b/>
        </w:rPr>
        <w:t>E. 21</w:t>
      </w:r>
    </w:p>
    <w:p>
      <w:r>
        <w:t>Le 28 mars 2024, sur interpellation du tribunal, le département a expliqué que la raison pour laquelle les bâtiments n° 7______, 8______ et 9______, sis sur la parcelle litigieuse, étaient aujourd'hui affectés à du logement, était qu'ils avaient fait l'objet de deux autorisations de construire (DD 5______/1 et DD 5______/2), dans le cadre desquelles la transformation et l'agrandissement de la ferme principale avaient été autorisés. Cette situation ne pouvait être comparée à celle des bâtiments litigieux. Quant à la possibilité de transformer des bâtiments agricoles existants, le droit applicable, plus particulièrement les art. 24 ss de la loi fédérale sur l’aménagement du territoire du</w:t>
      </w:r>
    </w:p>
    <w:p>
      <w:r>
        <w:rPr>
          <w:b/>
        </w:rPr>
        <w:t>E. 22</w:t>
      </w:r>
    </w:p>
    <w:p>
      <w:r>
        <w:t>Le 4 avril 2024, sur demande du tribunal, la recourante a produit un tirage du procès-verbal de constat du 18 août 2015, établi par huissier judiciaire. EN DROIT</w:t>
      </w:r>
    </w:p>
    <w:p>
      <w:r>
        <w:t>- 10/16 - A/2886/2023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estime que l’ordre de remise en état serait contraire aux principes de la bonne foi et de proportionnalité, et que son intérêt privé à maintenir son activité professionnelle serait prépondérant. 6. 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w:t>
      </w:r>
    </w:p>
    <w:p>
      <w:r>
        <w:t>- 11/16 - A/2886/2023 renonciation à faire respecter les dispositions transgressées. Finalement, l’intérêt public au rétablissement d’une situation conforme au droit doit l’emporter sur l’intérêt privé de l’intéressé au maintien des installations litigieuses (ATA/225/ 2023 du 7 mars 2023 consid. 3b). 7. 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8. S'agissant de l'application du principe de la bonne foi en matière de constructions illicites, l’inaction de l’autorité face à une construction illicite ne lie cette dernière que si elle peut être assimilée à une tolérance « active ». Pour cela, certains auteurs</w:t>
      </w:r>
    </w:p>
    <w:p>
      <w:r>
        <w:t>- 12/16 - A/2886/2023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 consid. 4.2 ; 1C_181/2009 du 24 juin 2009 consid. 3.3). Des délais de vingt-quatre voire vingt ans peuvent suffire (arrêt du Tribunal fédéral 1C_176/2009 du 28 janvier 2010 consid. 2.2.2 et les références citées). Récemment, la chambre administrative a retenu une telle violation dans le cadre de la présence d’un paddock et d’un marcheur dans un manège pendant plus de vingt ans (ATA/77/2023 du 24 janvier 2023). 9. Par ailleurs, 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 10.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w:t>
      </w:r>
    </w:p>
    <w:p>
      <w:r>
        <w:t>- 13/16 - A/2886/2023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t>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 11. Dans un arrêt du 28 avril 2021, le Tribunal fédéral a précisé qu’à l’inverse de ce qui prévalait pour les zones à bâtir, et contrairement à ce qu'il avait admis durant de nombreuses années, l’obligation de rétablir un état conforme au droit ne s’éteignait pas après trente ans s’agissant de bâtiments et installations érigés illégalement en dehors de la zone à bâtir (ATF 147 II 309 consid. 4 et 5). En particulier, s’il pouvait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(ATF 147 II 309 consid. 5.5 et 5.6 ; arrêt 1C_60/2021 du 27 juillet 2021 consid. 3.2.1). Cette jurisprudence est régulièrement appliquée par la chambre administrative (cf. ATA/225/2023 du 7 mars 2023 consid. 5). 12. En l'occurrence, s'agissant de savoir si, comme le soutient la recourante, la décision litigieuse serait contraire au principe de la bonne foi, l'autorité intimée considère tout d'abord que la recourante n'aurait pas démontré avoir tenu compte des informations contenues dans le courrier du 4 octobre 2017 lors de l'achat de la parcelle. Cependant, il s'agit là, comme l'a relevé la recourante, d'un fait dont la preuve peut être impossible à apporter dans la mesure où il correspond à un simple savoir. Par ailleurs, le seul fait que la recourante s'est elle-même fondée sur ce document dans la présente procédure démontre qu'elle était en possession des informations qu'il contenait et il n'y a a priori aucune raison de considérer, en l'absence de tout indice contraire, que ces dernières lui seraient parvenues seulement postérieurement à la vente. Ensuite, l'autorité intimée considère que la recourante aurait pu s'informer préalablement au sujet de l'affectation des bâtiments litigieux auprès des autorités administratives avant de s'engager. Cet argument revient toutefois à ignorer le contenu et la portée de l'acte du 4 octobre 2017, que l'autorité intimée avait elle- même qualifiée de décision constatatoire et qui avait pour objet de renoncer à la démolition des bâtiments litigieux en raison de leur réalisation très vraisemblablement antérieure à 1986, soit datant de plus de trente ans. Compte tenu</w:t>
      </w:r>
    </w:p>
    <w:p>
      <w:r>
        <w:t>- 14/16 - A/2886/2023 de ces informations, la recourante n'avait strictement aucune raison de requérir des informations complémentaires auprès de l'autorité litigieuse. Enfin, l'autorité intimée soutient que le fait qu'elle avait renoncé à exiger la démolition des bâtiments litigieux ne permettait pas à la recourante de prétendre qu'elle pouvait conserver l'affectation qui n'était pas celle autorisée à l'origine. Cet argument se heurte cependant au fait que la décision du 4 octobre 2017 faisait expressément référence au constat d'huissier du 18 août 2015, lequel, produit dans la présente procédure, démontrait sans aucune ambiguïté l'affectation non agricole desdits bâtiments. L'autorité intimée ne saurait donc aujourd'hui s'écarter d'éléments auxquels elle s'était elle-même référée à l'époque, soit en laissant entendre qu'elle n'en avait alors pas pris connaissance, soit en prétendant qu'il n'y aurait pas (ou plus) lieu d'en tenir compte, sauf à adopter un comportement clairement contraire au principe de la bonne foi. Il faut encore préciser, concernant la durée au terme de laquelle l'inaction de l'autorité permet à un propriétaire de se prévaloir du principe de la bonne foi, que la présente espèce présente une caractéristique tout à fait spécifique, puisque l'affectation non agricole des bâtiments litigieux était non seulement portée à la connaissance de l'autorité (depuis 2015), mais que celle-ci a ensuite expressément renoncé à en obtenir le rétablissement conforme au droit par une décision formelle. Cet élément implique une dimension de sécurité du droit qui renforce en l'espèce le besoin de protection de l'administré dans la confiance qu'il doit pouvoir faire à l'autorité administrative. 13. Au vu de ce qui précède, force est de constater que l'une des conditions permettant à l'autorité intimée de prononcer un ordre de remise en état n'est pas réalisée. 14. A cela, le tribunal ajoutera à titre supplémentaire que le principe de la proportionnalité s'oppose lui aussi à la décision litigieuse. Certes, la modification de la LAT annoncée dans la FF 2023 2488, qui rétablit la prescription trentenaire qu'avait supprimé l'ATF 147 II 309, n'entrera en vigueur qu'en 2025 et il ne saurait donc en être fait une application anticipée. Cependant, cette modification législative très prochaine doit être prise en considération dans le cadre du principe de la proportionnalité, sauf à faire abstraction du pouvoir d'appréciation dont dispose l'autorité et à s'en tenir à une application purement mécanique du droit. 15. Au vu de ce qui précède, le recours sera admis et la décision litigieuse annulée. 16. Vu l'issue du litige, il ne sera pas perçu d'émolument (art. 87 al. 1 LPA et 1 et 2 du règlement sur les frais, émoluments et indemnités en procédure administrative du 30 juillet 1986 - RFPA - E 5 10.03). L'émolument versé par la recourante lui sera restitué. 17. Vu l'issue du litige, une indemnité de procédure de CHF 2'000.-, à la charge de l'Etat de Genève, soit pour lui l'autorité intimée, sera allouée à la recourante (art. 87 al. 2 à 4 LPA et 6 RFPA).</w:t>
      </w:r>
    </w:p>
    <w:p>
      <w:r>
        <w:t>- 15/16 - A/2886/2023</w:t>
      </w:r>
    </w:p>
    <w:p>
      <w:r>
        <w:t>- 16/16 - A/2886/2023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