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JTAPI/650/2021 vom 24. Juni 2021</w:t>
      </w:r>
    </w:p>
    <w:p>
      <w:r>
        <w:t>GE Cour de justice, 2021-06-24, FR</w:t>
      </w:r>
    </w:p>
    <w:p>
      <w:r>
        <w:rPr>
          <w:b/>
        </w:rPr>
        <w:t xml:space="preserve">Quelle: </w:t>
      </w:r>
      <w:r>
        <w:t>https://mcp.opencaselaw.ch/entscheid/ge_gerichte_JTAPI_650_2021</w:t>
      </w:r>
    </w:p>
    <w:p>
      <w:r>
        <w:t>FR: GE_GERICHTE JTAPI/650/2021 du 24 juin 2021</w:t>
      </w:r>
    </w:p>
    <w:p>
      <w:r>
        <w:t>IT: GE_GERICHTE JTAPI/650/2021 del 24 giugno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t>- 8/16 - A/4163/2020</w:t>
      </w:r>
    </w:p>
    <w:p>
      <w:r>
        <w:rPr>
          <w:b/>
        </w:rPr>
        <w:t>E. 3</w:t>
      </w:r>
    </w:p>
    <w:p>
      <w:r>
        <w:t>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Ces principes s'appliquent en particulier à la tenue d'une inspection locale, en l'absence d'une disposition cantonale qui imposerait une telle mesure d'instruction, étant précisé qu'une telle disposition n'existe pas en droit genevois (ATF 120 Ib 224 consid. 2b ; arrêt du Tribunal fédéral 1C_243/2013 du 27 septembre 2013 consid. 3.2.1 ; ATA/720/2012 du 30 octobre 2012 consid. 3).</w:t>
      </w:r>
    </w:p>
    <w:p>
      <w:r>
        <w:rPr>
          <w:b/>
        </w:rPr>
        <w:t>E. 4</w:t>
      </w:r>
    </w:p>
    <w:p>
      <w:r>
        <w:t>En l'espèce, le tribunal estime que le dossier contient les éléments suffisants et nécessaires à l'examen des griefs et arguments mis en avant par les parties. En particulier, les plans versés au dossier, ainsi que les outils disponibles sur Internet, soit notamment le système d'information du territoire genevois (ci-après : SITG), permettent parfaitement de visualiser l'emplacement du projet litigieux, de sorte que cette mesure d'instruction, non obligatoire en soi, ne fournirait pas d'informations pertinentes supplémentaires. Il n’y sera donc pas donné suite.</w:t>
      </w:r>
    </w:p>
    <w:p>
      <w:r>
        <w:rPr>
          <w:b/>
        </w:rPr>
        <w:t>E. 5</w:t>
      </w:r>
    </w:p>
    <w:p>
      <w:r>
        <w:t>Selon l'art. 61 al. 1 LPA, un recours peut être formé pour violation du droit, y compris l'excès et l'abus du pouvoir d'appréciation (let. a), ou pour constatation inexacte ou incomplète des faits pertinents (let. b). Les juridictions administratives ne sont en revanche pas compétentes pour apprécier l'opportunité de la décision attaquée, sauf exception prévue par la loi (art. 61 al. 2 LPA).</w:t>
      </w:r>
    </w:p>
    <w:p>
      <w:r>
        <w:rPr>
          <w:b/>
        </w:rPr>
        <w:t>E. 6</w:t>
      </w:r>
    </w:p>
    <w:p>
      <w:r>
        <w:t>Aucune construction ou installation ne peut être créée ou transformée sans autorisation de l'autorité compétente (art. 22 al. 1 de la loi fédérale sur l’aménagement du territoire du 22 juin 1979 - LAT - RS 700 ; art. 1 al. 1 LCI). L'autorisation est délivrée si la construction ou l'installation est conforme à l'affectation de la zone (art. 22 al. 2 let. a LAT) et si le terrain est équipé (art. 22 al. 2 let. b LAT). Le droit fédéral et le droit cantonal peuvent poser d'autres conditions (art. 22 al. 3 LAT). Dès que les conditions légales sont réunies, le département est tenu de délivrer l'autorisation de construire (art. 1 al. 5 LCI).</w:t>
      </w:r>
    </w:p>
    <w:p>
      <w:r>
        <w:t>- 9/16 - A/4163/2020</w:t>
      </w:r>
    </w:p>
    <w:p>
      <w:r>
        <w:rPr>
          <w:b/>
        </w:rPr>
        <w:t>E. 7</w:t>
      </w:r>
    </w:p>
    <w:p>
      <w:r>
        <w:t>Selon l’art. 14 LAT, les plans d’affectation règlent le mode d’utilisation du sol. Ils définissent en premier lieu les zones à bâtir, les zones agricoles et les zones à protéger.</w:t>
      </w:r>
    </w:p>
    <w:p>
      <w:r>
        <w:rPr>
          <w:b/>
        </w:rPr>
        <w:t>E. 8</w:t>
      </w:r>
    </w:p>
    <w:p>
      <w:r>
        <w:t>À Genève, l’art. 12 LaLAT précise que pour déterminer l’affectation du sol sur l’ensemble du territoire cantonal, celui-ci est réparti en zones (al. 1), lesquelles sont de trois types (al. 2), à savoir les zones ordinaires (let. a ; voir aussi art. 18 à 27), les zones de développement (let. b ; voir aussi art. 30 à 30B) et les zones protégées (let. c ; voir aussi art. 28).</w:t>
      </w:r>
    </w:p>
    <w:p>
      <w:r>
        <w:rPr>
          <w:b/>
        </w:rPr>
        <w:t>E. 9</w:t>
      </w:r>
    </w:p>
    <w:p>
      <w:r>
        <w:t>L’art. 19 LaLAT détaille les zones à bâtir. Son alinéa 4 prévoit que les zones industrielles et artisanales sont destinées aux constructions industrielles, artisanales et ferroviaires. Ainsi, selon la systématique suivie par le législateur genevois, les zones industrielles font partie des zones à bâtir, qui sont elles-mêmes englobées dans les zones ordinaires au sens des art. 12 et 18 LaLAT (ATA/518/2010 du 3 août 2010 consid. 4b).</w:t>
      </w:r>
    </w:p>
    <w:p>
      <w:r>
        <w:rPr>
          <w:b/>
        </w:rPr>
        <w:t>E. 10</w:t>
      </w:r>
    </w:p>
    <w:p>
      <w:r>
        <w:t>Selon l’art. 12 al. 4 LaLAT, dont la note marginale est « zones de développement », en vue de favoriser l’urbanisation, la restructuration de certains territoires, l’extension des villages ou de zones existantes, la création de zones d’activités publiques ou privées, le Grand Conseil peut délimiter des périmètres de développement, dits zones de développement, dont il fixe le régime d’affectation. Le Grand Conseil peut créer des zones de développement vouées à des affectations spécifiques qui précisent celles visées aux art. 19, 30 et 30A LaLAT ou au besoin s’en écartent. À l’intérieur de ces périmètres, le Conseil d’État peut, en vue de la délivrance d’une autorisation de construire, autoriser le département à faire application des normes résultant de la zone de développement, en lieu et place de celles de la zone à laquelle elle se substitue.</w:t>
      </w:r>
    </w:p>
    <w:p>
      <w:r>
        <w:rPr>
          <w:b/>
        </w:rPr>
        <w:t>E. 11</w:t>
      </w:r>
    </w:p>
    <w:p>
      <w:r>
        <w:t>Selon l’art. 30 LaLAT, les zones de développement sont régies, selon leur affectation, par la loi générale sur les zones de développement du 29 juin 1957 (LGZD - L 1 35) et par la LZIAM.</w:t>
      </w:r>
    </w:p>
    <w:p>
      <w:r>
        <w:rPr>
          <w:b/>
        </w:rPr>
        <w:t>E. 12</w:t>
      </w:r>
    </w:p>
    <w:p>
      <w:r>
        <w:t>La LaLAT distingue ainsi les zones industrielles et artisanales « ordinaires » (art. 19 al. 4 LaLAT) et les zones de développement industriel et artisanal (art. 30 LaLAT et LZIAM).</w:t>
      </w:r>
    </w:p>
    <w:p>
      <w:r>
        <w:rPr>
          <w:b/>
        </w:rPr>
        <w:t>E. 13</w:t>
      </w:r>
    </w:p>
    <w:p>
      <w:r>
        <w:t>décembre 1984 (LGZDI, devenue LZIAM). Il s’agissait d’instaurer un nouveau type de zone d’activités (« zone de développement d’activités mixtes »), dans le but de favoriser la mixité entre les activités secondaires et tertiaires et d’assurer une densification des espaces disponibles et une meilleure intégration des activités aux zones urbanisées (PL 10’861, p. 6). La nouvelle loi 10’861 a été</w:t>
      </w:r>
    </w:p>
    <w:p>
      <w:r>
        <w:t>- 10/16 - A/4163/2020 adoptée par le Grand Conseil le 22 mars 2012 et est entrée en vigueur le 28 août 2013.</w:t>
      </w:r>
    </w:p>
    <w:p>
      <w:r>
        <w:rPr>
          <w:b/>
        </w:rPr>
        <w:t>E. 14</w:t>
      </w:r>
    </w:p>
    <w:p>
      <w:r>
        <w:t>La LZIAM a pour but de fixer les conditions applicables à l’aménagement et l’occupation rationnelle des zones de développement industriel, dévolues aux activités industrielles et artisanales (ci-après : activités du secteur secondaire), ainsi que des zones de développement d’activités mixtes, dévolues aux activités des secteurs secondaire et tertiaire, y compris les activités culturelles et festives (art. 1 al. 1 LZIAM). Les zones de développement d’activités mixtes comportent au minimum 60 % des surfaces brutes de plancher dévolues à des activités du secteur secondaire (art. 1 al. 2 LZIAM).</w:t>
      </w:r>
    </w:p>
    <w:p>
      <w:r>
        <w:rPr>
          <w:b/>
        </w:rPr>
        <w:t>E. 15</w:t>
      </w:r>
    </w:p>
    <w:p>
      <w:r>
        <w:t>Selon l’art. 4 al. 1 LZIAM, dans les zones de développement industriel et les zones de développement d’activités mixtes, le Conseil d’État peut, en vue de la délivrance de l’autorisation de construire, autoriser l’application des normes de la zone industrielle ou de la zone de développement d’activités mixtes au sens de la LaLAT. Cette décision est subordonnée à l’approbation préalable : a) des plans et règlements directeurs au sens des art. 2 et 3 ou, le cas échéant, d’un PLQ fixant tout ou partie des éléments énoncés dans l’art. 3 LGZD ; b) des conditions particulières applicables au projet présenté, notamment : 1° le prix du terrain, qui doit être agréé sur la base des prix admis dans chaque zone de développement industriel ou d’activités mixtes, 2° les loyers et les prix des locaux industriels ou artisanaux répondant à un besoin d’intérêt général, qui doivent respecter les montants maximums fixés pour chaque zone de développement d’activités mixtes par le Conseil d’État, 3° les loyers et les prix des locaux destinés à des activités tertiaires dans les zones de développement d’activités mixtes, dont les montants doivent être comparables aux prix du marché.</w:t>
      </w:r>
    </w:p>
    <w:p>
      <w:r>
        <w:rPr>
          <w:b/>
        </w:rPr>
        <w:t>E. 16</w:t>
      </w:r>
    </w:p>
    <w:p>
      <w:r>
        <w:t>Le RAZIDI a été adopté par le Conseil d’État le 21 août 2013 et est entré en vigueur le 28 août 2013. Il n’a pas fait l’objet d’un communiqué de presse du Conseil d’État.</w:t>
      </w:r>
    </w:p>
    <w:p>
      <w:r>
        <w:rPr>
          <w:b/>
        </w:rPr>
        <w:t>E. 17</w:t>
      </w:r>
    </w:p>
    <w:p>
      <w:r>
        <w:t>L’art. 1 RAZIDI, norme secondaire concrétisant l’art. 1 LZIAM et définissant les activités admissibles dans les zones concernées, connaît un régime d’exception à l’art. 5 RAZIDI.</w:t>
      </w:r>
    </w:p>
    <w:p>
      <w:r>
        <w:rPr>
          <w:b/>
        </w:rPr>
        <w:t>E. 18</w:t>
      </w:r>
    </w:p>
    <w:p>
      <w:r>
        <w:t>Selon l’art. 5 al. 1 RAZIDI, en dérogation à l'art. 1, un régime d’exception peut être conféré à certaines entreprises prestataires de services utiles aux utilisateurs des zones industrielles (travailleurs, clients, fournisseurs), si l'implantation de ces entreprises en zone industrielle est susceptible de contribuer significativement à la réduction des mouvements pendulaires et à l'accroissement du bien-être des utilisateurs. Le régime d’exception pourra être accordé notamment en faveur de tea-rooms et cafés-restaurants, d'épiceries, d'agences de distribution de tabacs et journaux, de guichets bancaires, de fitness, d'offices postaux, ou encore de garderies d’enfants.</w:t>
      </w:r>
    </w:p>
    <w:p>
      <w:r>
        <w:t>- 11/16 - A/4163/2020</w:t>
      </w:r>
    </w:p>
    <w:p>
      <w:r>
        <w:rPr>
          <w:b/>
        </w:rPr>
        <w:t>E. 19</w:t>
      </w:r>
    </w:p>
    <w:p>
      <w:r>
        <w:t>Selon l’art.10 RAZIDI, l’art. 9A s’applique à toutes les demandes d’autorisation déposées après son entrée en vigueur.</w:t>
      </w:r>
    </w:p>
    <w:p>
      <w:r>
        <w:rPr>
          <w:b/>
        </w:rPr>
        <w:t>E. 20</w:t>
      </w:r>
    </w:p>
    <w:p>
      <w:r>
        <w:t>Selon ce dernier article, après examen de la demande définitive d’autorisation de construire, le département chargé des autorisations de construire, en application de l’art. 4 al. 1 let. b de la LZIAM du 13 décembre 1984, fixe les conditions particulières conformément à cet article et statue sur l’application au projet présenté des normes de la zone de développement industriel, respectivement de la zone de développement d’activités mixtes (art. 9A RAZIDI).</w:t>
      </w:r>
    </w:p>
    <w:p>
      <w:r>
        <w:rPr>
          <w:b/>
        </w:rPr>
        <w:t>E. 21</w:t>
      </w:r>
    </w:p>
    <w:p>
      <w:r>
        <w:t>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Toutefois, lorsqu'un préavis est obligatoire, il convient de ne pas le minimiser.</w:t>
      </w:r>
    </w:p>
    <w:p>
      <w:r>
        <w:rPr>
          <w:b/>
        </w:rPr>
        <w:t>E. 22</w:t>
      </w:r>
    </w:p>
    <w:p>
      <w:r>
        <w:t>Les préavis recueillis au cours de la procédure d'autorisation ne lient ni l'autorité exécutive cantonale, ni les autorités judiciaires. Ils sont en principe sans caractère contraignant pour l'autorité administrative, étant précisé que cette dernière ne saurait faire abstraction des préavis exprimés dans des conditions prévues par la loi (Stéphane GRODECKI, La jurisprudence en matière d'aménagement du territoire et de droit public des constructions rendue par le Tribunal administratif genevois en 2008, in RDAF 2009, n° 2, p. 130). La délivrance des autorisations de construire demeure de la compétence exclusive du département à qui il appartient de statuer en tenant compte de tous les intérêts en présence (ATA/439/2021 du 20 avril 2021 ; ATA/318/2017 du 21 mars 2017 ; ATA/828/2015 du 11 août 2015 ; ATA/699/2015 du 30 juin 2015).</w:t>
      </w:r>
    </w:p>
    <w:p>
      <w:r>
        <w:rPr>
          <w:b/>
        </w:rPr>
        <w:t>E. 23</w:t>
      </w:r>
    </w:p>
    <w:p>
      <w:r>
        <w:t>Selon une jurisprudence bien établie, les juridictions administratives observent une certaine retenue pour éviter de substituer leur propre appréciation à celle des commissions de préavis pour autant que l'autorité inférieure suive l'avis de celles- 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(ATA/1125/2020 du 10 novembre 2020 ; ATA/1279/2018 du 27 novembre 2018).</w:t>
      </w:r>
    </w:p>
    <w:p>
      <w:r>
        <w:rPr>
          <w:b/>
        </w:rPr>
        <w:t>E. 24</w:t>
      </w:r>
    </w:p>
    <w:p>
      <w:r>
        <w:t>On parle de conflit de normes lorsque plusieurs règles de droit sont susceptibles de s'appliquer à un état de fait donné, avec des conséquences juridiques différentes voire contradictoires (ATF 135 V 80 consid. 2.1 ; ATA/1000/2014 du 16 décembre 2014 ; Ernst A. KRAMER, Juristische Methodenlehre, 4e éd., 2013, p. 111 s.).</w:t>
      </w:r>
    </w:p>
    <w:p>
      <w:r>
        <w:t>- 12/16 - A/4163/2020</w:t>
      </w:r>
    </w:p>
    <w:p>
      <w:r>
        <w:rPr>
          <w:b/>
        </w:rPr>
        <w:t>E. 25</w:t>
      </w:r>
    </w:p>
    <w:p>
      <w:r>
        <w:t>En cas de conflit de normes s'appliquent trois règles classiques principales : lex superior derogat inferiori (la norme supérieure prime la norme inférieure), lex specialis derogat generali (la norme spéciale prime la norme générale), et lex posterior derogat anteriori (la norme postérieure prime la norme antérieure).</w:t>
      </w:r>
    </w:p>
    <w:p>
      <w:r>
        <w:rPr>
          <w:b/>
        </w:rPr>
        <w:t>E. 26</w:t>
      </w:r>
    </w:p>
    <w:p>
      <w:r>
        <w:t>La primauté du droit supérieur découle du principe de la hiérarchie des normes (arrêt du Tribunal fédéral 2C_736/2010 du 23 février 2012 consid. 6.3). En présence de règles de droit contradictoires de rangs différents, le juge est tenu de se conformer à la règle supérieure. Entre les principes lex specialis derogat generali et lex posterior derogat anteriori, il n'existe pas de hiérarchie stricte (ATF 134 II 329 consid. 5.2). Il est néanmoins incontesté que le rapport de spécialité entre deux normes n'est pas toujours facile à déterminer, et qu'il doit le cas échéant être dégagé selon les règles classiques de l'interprétation juridique. Par ailleurs, si la question du caractère postérieur d'une norme par rapport à une autre est généralement plus facile à établir, il n'en est pas moins nécessaire de se demander le cas échéant si le nouveau droit visait bien à matériellement « abroger » l'ancien (ATA/1000/2014 du 16 décembre 2014 consid. 11 et les références citées).</w:t>
      </w:r>
    </w:p>
    <w:p>
      <w:r>
        <w:rPr>
          <w:b/>
        </w:rPr>
        <w:t>E. 27</w:t>
      </w:r>
    </w:p>
    <w:p>
      <w:r>
        <w:t>Selon une jurisprudence constante du Tribunal fédéral, la loi s'interprète en premier lieu selon sa lettre (interprétation littérale). Si le texte légal n'est pas absolument clair, si plusieurs interprétations de celui-ci sont possibles, la juridiction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145 I 108 consid. 4.4.2 ; 143 I 109 consid. 6 ; ATA/273/2019 du 19 mars 2019 consid. 3).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144 V 313 consid. 6.1 ; ATA/1026/2019 du 18 juin 2019 consid. 5a). Enfin, si plusieurs interprétations sont admissibles, il faut choisir celle qui est conforme à la Constitution (ATF 144 III 58 consid. 4.1.3.1).</w:t>
      </w:r>
    </w:p>
    <w:p>
      <w:r>
        <w:rPr>
          <w:b/>
        </w:rPr>
        <w:t>E. 28</w:t>
      </w:r>
    </w:p>
    <w:p>
      <w:r>
        <w:t>En l’espèce, tous les préavis recueillis étaient positifs. La motivation de ceux d’entre eux qui étaient détaillés, soit ceux du SABRA et l’OU, indiquait simplement que le projet était « conforme à la zone actuelle » et « conforme à l’affectation de la zone », sans plus d’explications, ni d’analyse détaillées du règlement directeur ou du RAZIDI. Le préavis de la FTI précisait qu’une réflexion sur la mobilité avait été menée et des mesures prises afin de favoriser la mobilité douce, mais sans s’attacher aux conditions légales applicables. Il n’y a pas</w:t>
      </w:r>
    </w:p>
    <w:p>
      <w:r>
        <w:t>- 13/16 - A/4163/2020 davantage eu d’instruction de la part des instances de préavis des conditions posées par la LZIAM, respectivement le RAZIDI. Le département considère qu’il a été contraint de s’écarter des préavis des instances consultées, car ceux-ci ne mentionnent pas d’analyse des conditions applicables à la zone, et donc à la parcelle, soit le RAZIDI. Les recourantes, quant à elles, estiment que le RAZIDI ne s’appliquerait pas à la parcelle concernée, son régime juridique étant uniquement défini par la loi 5'874 et par son règlement directeur. La LZIAM (anciennement LGZDI) est entrée en vigueur en 1985. Elle fixe les conditions applicables à l’aménagement et à l’occupation rationnelle des zones de développement industrielles ou d’activités mixtes. Le règlement directeur, selon l’art. 3 LZIAM fixe quant à lui les conditions nécessaires à la réalisation de l’équipement, ainsi que les conditions relatives à la destination des terrains, des constructions et des installations. En application de cette loi, un règlement directeur a été adopté par le Conseil d’État s’agissant de la zone la Pallanterie. Ce règlement directeur prévoit, à son art. 3 al. 2, que l’implantation de certaines activités commerciales et de service peut être autorisée, en fonction des besoins des utilisateurs de la zone. Cet article concrétise l’art. 2 de la loi 5'874, lequel précise que les terrains compris dans la zone la Pallanterie sont destinés à des activités « industrielles, artisanales, commerciales et service ». C’est sur cette base que le restaurant a notamment été autorisé, sans service au volant (voir à cet égard DCRC/8035/2006 du 27 février 2006). Le RAZIDI a été adopté en application de la LZIAM, et s’applique depuis août 2013 à toutes les zones industrielles ou les zones de développement d’activités mixtes. Il prévoit à titre dérogatoire la possibilité d’autoriser des activités tertiaires en zones industrielles ou de développement industriel et d’activités mixtes, à certaines conditions (à savoir contribuer significativement à la réduction des mouvements pendulaires et à l’accroissement du bien-être des utilisateurs, art. 5 RAZIDI). Ses art. 8 et 9 précisent que les compétences du département chargé des autorisations de construire demeure réservé. L’entrée en vigueur du RAZIDI n’a pas, à teneur de ce règlement, abrogé les règlements antérieurs spécifiques à certaines zones mais ajouté une strate normative supplémentaire. En particulier, le RAZIDI précise à son art. 9A, que le département statue sur l’application au projet des normes de la zone de développement industriel, respectivement de la zone d’activités mixtes. Cet article s’applique à toutes les demandes d’autorisation déposées après son entrée en vigueur (art. 11 RAZIDI).</w:t>
      </w:r>
    </w:p>
    <w:p>
      <w:r>
        <w:t>- 14/16 - A/4163/2020 Dans ces conditions, il ne peut-être considéré que le raisonnement du département est erroné et consacrerait un abus ou un excès de son pouvoir d’appréciation. Le département a ainsi considéré que le RAZIDI s’appliquait, au même titre que le règlement directeur, et que ces deux règlements, de même rang législatif, permettaient des activités de services, à des conditions spécifiques. Dès lors, il a estimé que le service au volant ne s’adressait pas aux utilisateurs de la zone mais plutôt aux personnes externes au périmètre et ne contribuait pas à une diminution des mouvements pendulaires. Les problèmes de sécurité et le réaménagement de la zone pouvaient être réglés sans être obligatoirement liés à la création d’un service de vente au volant. Le département s’est écarté des préavis des instances consultées pour des motifs prépondérants dûment établis, puisque ces dernières n’avaient pas retenu l’application des dispositions légales applicables ou uniquement partiellement, omettant en particulier l’analyse des conditions spécifiques du RAZIDI, dans leur analyse du dossier d’autorisation avant de rendre les préavis. Au plan systématique, il sera souligné que le règlement directeur de la nouvelle zone « La Pallanterie Sud » adopté par le Conseil d’État le 26 juillet 2017, prévoit, à son art. 5 al. 1, que les terrains situés dans le périmètre sont affectés à des activités industrielles, artisanales ou assimilées, et soumis notamment aux dispositions applicables aux zones de développement industriel, conformément à la LZIAM et au RAZIDI. En particulier, des établissements tels que des tea- rooms, cafés-restaurants, épiceries, agences de distribution de tabacs et journaux, guichets bancaires, fitness, offices postaux, ou encore garderies d’enfants, conformément aux dispositions de l’art, 5 al. 1 du RAZIDI, peuvent notamment y être autorisés. Ainsi, même si dans ce cas le RAZIDI est antérieur au règlement directeur spécifique, celui-ci prévoit l’application des dispositions, notamment l’art. 5 qu’il renferme en sus de ses propres dispositions. S’agissant de zones similaires, situées dans un périmètre proche relativement restreint, une application différenciée du RAZIDI serait contraire à la systématique légale. Enfin, il sera relevé que le but du règlement directeur et du RAZIDI s’agissant d’autoriser certaines activités de service est similaire. Ces deux règlements visent à autoriser de manière contrôlée l’implantation d’activités tertiaires dans des zones de développement industriel ou d’activités mixtes, pour autant qu’elles soient utiles aux besoins des utilisateurs de la zone tout en garantissant dans la mesure du possible, qu’une telle zone reste dédiée aux secteurs industriels et artisanaux auxquels elle est réservée, à l’exclusion des activités tertiaires. Le RAZIDI, plus précis et spécifique, impose une condition supplémentaire, la réduction des mouvements pendulaires. Au vu des développements qui précède, le tribunal constate que le département n’a pas abusé ou excédé de son pouvoir d’appréciation en s’écartant des préavis favorables et en refusant d’octroyer l’autorisation sollicitée.</w:t>
      </w:r>
    </w:p>
    <w:p>
      <w:r>
        <w:t>- 15/16 - A/4163/2020</w:t>
      </w:r>
    </w:p>
    <w:p>
      <w:r>
        <w:rPr>
          <w:b/>
        </w:rPr>
        <w:t>E. 29</w:t>
      </w:r>
    </w:p>
    <w:p>
      <w:r>
        <w:t>Partant, mal fondé, le recours sera rejeté.</w:t>
      </w:r>
    </w:p>
    <w:p>
      <w:r>
        <w:rPr>
          <w:b/>
        </w:rPr>
        <w:t>E. 30</w:t>
      </w:r>
    </w:p>
    <w:p>
      <w:r>
        <w:t>En application des art. 87 al. 1 LPA et 1 et 2 du règlement sur les frais, émoluments et indemnités en procédure administrative du 30 juillet 1986 (RFPA - E 5 10.03), les recourants, prises solidairement, qui succombent, sont condamnées au paiement d’un émolument s'élevant à CHF 1’000.- ; il est couvert par l’avance de frais de CHF 1'000.- versée à la suite du dépôt du recours.</w:t>
      </w:r>
    </w:p>
    <w:p>
      <w:r>
        <w:rPr>
          <w:b/>
        </w:rPr>
        <w:t>E. 31</w:t>
      </w:r>
    </w:p>
    <w:p>
      <w:r>
        <w:t>Vu l’issue du litige, aucune indemnité de procédure ne sera allouée (art. 87 al. 2 LPA).</w:t>
      </w:r>
    </w:p>
    <w:p>
      <w:r>
        <w:t>- 16/16 - A/4163/2020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