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JTAPI/649/2025 vom 16. Juni 2025</w:t>
      </w:r>
    </w:p>
    <w:p>
      <w:r>
        <w:t>GE Cour de justice, 2025-06-16, FR</w:t>
      </w:r>
    </w:p>
    <w:p>
      <w:r>
        <w:rPr>
          <w:b/>
        </w:rPr>
        <w:t xml:space="preserve">Quelle: </w:t>
      </w:r>
      <w:r>
        <w:t>https://mcp.opencaselaw.ch/entscheid/ge_gerichte_JTAPI_649_2025</w:t>
      </w:r>
    </w:p>
    <w:p>
      <w:r>
        <w:t>FR: GE_GERICHTE JTAPI/649/2025 du 16 juin 2025</w:t>
      </w:r>
    </w:p>
    <w:p>
      <w:r>
        <w:t>IT: GE_GERICHTE JTAPI/649/2025 del 16 giugno 2025</w:t>
      </w:r>
    </w:p>
    <w:p>
      <w:pPr>
        <w:pStyle w:val="Heading2"/>
      </w:pPr>
      <w:r>
        <w:t>Erwägungen</w:t>
      </w:r>
    </w:p>
    <w:p>
      <w:r>
        <w:rPr>
          <w:b/>
        </w:rPr>
        <w:t>E. 1</w:t>
      </w:r>
    </w:p>
    <w:p>
      <w:r>
        <w:t>Le Tribunal administratif de première instance connaît des recours dirigés, comme en l’espèce, contre les décisions prises par le département (art. 115 et 116 de la loi sur l’organisation judiciaire du 26 septembre 2010 - LOJ - E 2 05 ; art. 143 et 145 de la loi sur les constructions et installations diverses du 14 avril 1988 - LCI - L 5 05).</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Pour déterminer si le justiciable a respecté le délai imparti pour l’avance de frais, les juridictions administratives genevoises appliquent les principes dégagés par la jurisprudence fédérale en la matière pour les recours fédéraux. Ainsi, le délai pour</w:t>
      </w:r>
    </w:p>
    <w:p>
      <w:r>
        <w:t>- 3/5 - A/1132/2025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9C_94/2008 du 30 septembre 2008, consid. 5.2 ; 2C_250/2009 du 2 juin 2009 ; ATA/503/2010 du 3 août 2010).</w:t>
      </w:r>
    </w:p>
    <w:p>
      <w:r>
        <w:rPr>
          <w:b/>
        </w:rPr>
        <w:t>E. 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du 24 juin 2009 consid. 2.2 ; 2C_450/2008 du 1er juillet 2008 consid. 2.3.4).</w:t>
      </w:r>
    </w:p>
    <w:p>
      <w:r>
        <w:rPr>
          <w:b/>
        </w:rPr>
        <w:t>E. 5</w:t>
      </w:r>
    </w:p>
    <w:p>
      <w:r>
        <w:t>En l’espèce, la demande de paiement de l’avance de frais a été correctement acheminée par le tribunal par trois courriers recommandés du 2 avril 2025 à l’adresse des recourants et a été reçue le 10 avril 2025 par Mme A______. Ce courrier précisait qu'en cas de non-paiement de l'avance de frais dans le délai imparti, soit au 2 mai 2025, le recours serait déclaré irrecevable. Les services financiers du Pouvoir judiciaire ayant enregistré le paiement de l’avance de frais à la date déterminante du 5 mai 2025, le tribunal a imparti à la recourante, par courrier du 2 juin 2025, un délai au 13 juin 2025 pour lui transmettre tout justificatif démontrant la date à laquelle elle s'était acquittée du paiement de l'avance de frais (avis de débit, extrait du compte, récépissé postal), sous peine d'irrecevabilité. Les recourants n’ont pas pu démontrer que le paiement avait été exécuté dans le délai imparti. Dans ces conditions, le tribunal ne peut que constater que l’avance de frais n'a pas été effectuée dans le délai imparti. À cela s’ajoute que rien ne permet de retenir que les recourants ont été victime d’un empêchement non fautif de s’acquitter en temps utile du montant réclamé.</w:t>
      </w:r>
    </w:p>
    <w:p>
      <w:r>
        <w:rPr>
          <w:b/>
        </w:rPr>
        <w:t>E. 6</w:t>
      </w:r>
    </w:p>
    <w:p>
      <w:r>
        <w:t>Partant, le recours doit être déclaré irrecevable.</w:t>
      </w:r>
    </w:p>
    <w:p>
      <w:r>
        <w:rPr>
          <w:b/>
        </w:rPr>
        <w:t>E. 7</w:t>
      </w:r>
    </w:p>
    <w:p>
      <w:r>
        <w:t>Vu l’issue du recours, un émolument de CHF 250.- sera mis à la charge des recourants, pris solidairement (art. 87 al. 1 LPA et 1 et 2 du règlement sur les frais,</w:t>
      </w:r>
    </w:p>
    <w:p>
      <w:r>
        <w:t>- 4/5 - A/1132/2025 émoluments et indemnités en procédure administrative du 30 juillet 1986 - RFPA - E 5 10.03).</w:t>
      </w:r>
    </w:p>
    <w:p>
      <w:r>
        <w:rPr>
          <w:b/>
        </w:rPr>
        <w:t>E. 8</w:t>
      </w:r>
    </w:p>
    <w:p>
      <w:r>
        <w:t>Le solde de l'avance de frais de CHF 650.- leur sera restitué.</w:t>
      </w:r>
    </w:p>
    <w:p>
      <w:r>
        <w:t>- 5/5 - A/1132/2025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