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JTAPI/648/2024 vom 27. Juni 2024</w:t>
      </w:r>
    </w:p>
    <w:p>
      <w:r>
        <w:t>GE Cour de justice, 2024-06-27, FR</w:t>
      </w:r>
    </w:p>
    <w:p>
      <w:r>
        <w:rPr>
          <w:b/>
        </w:rPr>
        <w:t xml:space="preserve">Quelle: </w:t>
      </w:r>
      <w:r>
        <w:t>https://mcp.opencaselaw.ch/entscheid/ge_gerichte_JTAPI_648_2024</w:t>
      </w:r>
    </w:p>
    <w:p>
      <w:r>
        <w:t>FR: GE_GERICHTE JTAPI/648/2024 du 27 juin 2024</w:t>
      </w:r>
    </w:p>
    <w:p>
      <w:r>
        <w:t>IT: GE_GERICHTE JTAPI/648/2024 del 27 giugno 2024</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rPr>
          <w:b/>
        </w:rPr>
        <w:t>E. 05</w:t>
      </w:r>
    </w:p>
    <w:p>
      <w:r>
        <w:t>;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Dans un premier grief d’ordre formel qu’il convient d’examiner en premier lieu (cf. ATF 132 V 387 consid. 5. 1) le recourant se plaint d’une violation de son droit d’être entendu, dans la mesure où il reproche à l’OCV de ne pas lui avoir donné l’occasion de s’expliquer avant le prononcé de la décision litigieuse. 4. Garanti par l'art. 29 al. 2 de la Constitution fédérale de la Confédération suisse du 18 avril 1999 (Cst. - RS 101), le droit d'être entendu est une garantie constitutionnelle de caractère formel, dont la violation doit entraîner l'annulation de la décision attaquée, indépendamment des chances de succès du recourant sur le fond (ATF 142 II 218 consid. 2.8.1 et les références). Il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w:t>
      </w:r>
    </w:p>
    <w:p>
      <w:r>
        <w:rPr>
          <w:b/>
        </w:rPr>
        <w:t>E. 5</w:t>
      </w:r>
    </w:p>
    <w:p>
      <w:r>
        <w:t>Le délai imparti par l'autorité peut être prolongé pour des motifs fondés si la partie en fait la demande avant son expiration (art. 16 al. 2 LPA). La demande doit être antérieure à l’échéance du délai (ATA/687/2010 du 5 octobre 2010 consid. 3). Si la requête est déposée le dernier jour du délai, l’administré porte alors seul le risque des conséquences du refus (arrêt du Tribunal fédéral 5D_87/2013 du 16 juillet 2013 consid. 6.2). Il n’existe pas un droit « automatique » à une prolongation de délai (arrêt du Tribunal fédéral 5D_87/2013 du 16 juillet 2013 consid. 6 ; Stéphane GRODECKI</w:t>
      </w:r>
    </w:p>
    <w:p>
      <w:r>
        <w:t>- 7/12 - A/614/2024 / Romain JORDAN, Code annoté de procédure administrative genevoise, 2017, ad art. 16 n. 294 p. 83).</w:t>
      </w:r>
    </w:p>
    <w:p>
      <w:r>
        <w:rPr>
          <w:b/>
        </w:rPr>
        <w:t>E. 6</w:t>
      </w:r>
    </w:p>
    <w:p>
      <w:r>
        <w:t>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(art. 16 al. 3 LPA).</w:t>
      </w:r>
    </w:p>
    <w:p>
      <w:r>
        <w:rPr>
          <w:b/>
        </w:rPr>
        <w:t>E. 7</w:t>
      </w:r>
    </w:p>
    <w:p>
      <w:r>
        <w:t>En l'espèce, avant de rendre la décision entreprise, l'autorité intimée a dûment interpellé le recourant par courrier du 21 décembre 2023, l'invitant à déposer ses observations dans un délai de quinze jours, qu’elle a ensuite, à la demande du recourant, prolongé au 5 février 2024. Le recourant a demandé à cette date une nouvelle prolongation du délai d'un mois, invoquant une surcharge extraordinaire de travail de son conseil. En sollicitant une seconde prolongation de délai, le dernier jour du délai précédemment accordé, le recourant, représenté par un avocat, a pris le risque de se voir opposer un refus de la part de l'autorité. Il n'a par ailleurs pas allégué avoir été empêché d'agir sans faute de sa part ce qui aurait pu permettre une restitution de délai (art. 16 al. 3 LPA). Dans ces circonstances, le reproche que le recourant adresse à l’autorité intimée est malvenu et aucune violation du droit d'être entendu ne saurait être reprochée à l'OCV.</w:t>
      </w:r>
    </w:p>
    <w:p>
      <w:r>
        <w:rPr>
          <w:b/>
        </w:rPr>
        <w:t>E. 8</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140 I 257 consid. 6.3.1 ; 137 V 71 consid. 5.1 ; 123 V 150 consid. 2 ; arrêt du Tribunal fédéral 1C_107/2016 du 28 juillet 2016 consid. 9).</w:t>
      </w:r>
    </w:p>
    <w:p>
      <w:r>
        <w:rPr>
          <w:b/>
        </w:rPr>
        <w:t>E. 9</w:t>
      </w:r>
    </w:p>
    <w:p>
      <w:r>
        <w:t>Le recourant ne conteste pas les infractions reprochées et ne s'oppose pas à l'expertise ordonnée mais fait valoir que l'interdiction de faire usage de son permis de conduire étranger sur le territoire suisse à titre préventif contrevient au principe de proportionnalité.</w:t>
      </w:r>
    </w:p>
    <w:p>
      <w:r>
        <w:rPr>
          <w:b/>
        </w:rPr>
        <w:t>E. 10</w:t>
      </w:r>
    </w:p>
    <w:p>
      <w:r>
        <w:t>Selon l'art. 14 al. 1 LCR, tout conducteur de véhicule automobile doit posséder l’aptitude et les qualifications nécessaires à la conduite. Est apte à la conduite, aux termes de l'art. 14 al. 2 LCR, celui qui a atteint l’âge minimal requis (let. a), a les aptitudes physiques et psychiques requises pour conduire un véhicule automobile</w:t>
      </w:r>
    </w:p>
    <w:p>
      <w:r>
        <w:t>- 8/12 - A/614/2024 en toute sécurité (let. b), ne souffre d’aucune dépendance qui l’empêche de conduire un véhicule automobile en toute sécurité (let. c) et dont les antécédents attestent qu’il respecte les règles en vigueur ainsi que les autres usagers de la route (let. d).</w:t>
      </w:r>
    </w:p>
    <w:p>
      <w:r>
        <w:rPr>
          <w:b/>
        </w:rPr>
        <w:t>E. 11</w:t>
      </w:r>
    </w:p>
    <w:p>
      <w:r>
        <w:t>Si l'aptitude à la conduite soulève des doutes, la personne concernée fera l'objet d'une enquête dans les cas énumérés de manière non exhaustive à l'art. 15d al. 1 let. a à e LCR (cf. arrêt du Tribunal fédéral 1C_531/2016 du 22 février 2017 consid. 2.1.1), notamment en cas d'infractions aux règles de la circulation dénotant un manque d'égards envers les autres usagers de la route (art. 15d al. 1 let. c LCR).</w:t>
      </w:r>
    </w:p>
    <w:p>
      <w:r>
        <w:t>Les faits objet des hypothèses de l’art. 15d al. 1 LCR fondent un soupçon préalable que l'aptitude à la conduite pourrait être réduite (cf. arrêt du Tribunal fédéral 1C_531/2016 du 22 février 2017 consid. 2.1.1 ; ATA/1138/2017 du 2 août 2017 consid. 5d et la référence). Si des indices concrets soulèvent des doutes quant à l'aptitude à la conduite de la personne concernée, un examen d'évaluation de l'aptitude à la conduite par un médecin et/ou un examen d'évaluation de l'aptitude à la conduite par un psychologue du trafic doivent être ordonnés (art. 28a al. 1 OAC ; arrêts du Tribunal fédéral 1C_41/2019 du 4 avril 2019 consid. 2.1 ; 1C_76/2017 du 19 mai 2017 consid. 5 ; cf. aussi ATF 139 II 95 consid. 3.5 ; arrêts du Tribunal fédéral 1C_531/2016 du 22 février 2017 consid. 2.4.2 ; 1C_593/2012 du 28 mars 2013 consid. 3.1).</w:t>
      </w:r>
    </w:p>
    <w:p>
      <w:r>
        <w:rPr>
          <w:b/>
        </w:rPr>
        <w:t>E. 12</w:t>
      </w:r>
    </w:p>
    <w:p>
      <w:r>
        <w:t>Selon l'art. 30 OAC, le permis de conduire peut être retiré à titre préventif en cas de doutes sérieux quant à l'aptitude à la conduite d'une personne. Cette disposition institue une mesure provisoire destinée à protéger les intérêts menacés jusqu'à l'issue de la procédure principale portant sur un retrait de sécurité.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Une preuve stricte n'est pas nécessaire. En effet,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La prise en considération de tous les éléments plaidant en faveur ou en défaveur de l'aptitude de l'intéressé à la conduite de véhicules automobiles interviendra à l'issue de la procédure au fond (cf. ATF 125 II 492 consid. 2b ; arrêts du tribunal fédéral 1C_154/2018 du 4 juillet 2018 consid. 4.2 ; 1C_514/2016 du 16 janvier 2017 consid. 2.2).</w:t>
      </w:r>
    </w:p>
    <w:p>
      <w:r>
        <w:rPr>
          <w:b/>
        </w:rPr>
        <w:t>E. 13</w:t>
      </w:r>
    </w:p>
    <w:p>
      <w:r>
        <w:t>De jurisprudence constante, les limitations de vitesse, telles qu'elles résultent de la loi ou de la signalisation routière, valent comme limites au-delà desquelles la sécurité de la route est compromise. Elles indiquent aux conducteurs les seuils à partir desquels le danger est assurément présent. Leur respect est donc essentiel à la sécurité du trafic. En la matière, la jurisprudence a été amenée à fixer des règles</w:t>
      </w:r>
    </w:p>
    <w:p>
      <w:r>
        <w:t>- 9/12 - A/614/2024 précises afin d'assurer l'égalité de traitement entre conducteurs. Ainsi, selon la jurisprudence constante,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3.1 et 3.2 et les arrêts cités ; arrêt du Tribunal fédéral 1C_580/2017 du 1er octobre 2018 consid. 2.1).</w:t>
      </w:r>
    </w:p>
    <w:p>
      <w:r>
        <w:rPr>
          <w:b/>
        </w:rPr>
        <w:t>E. 14</w:t>
      </w:r>
    </w:p>
    <w:p>
      <w:r>
        <w:t>Selon l'art. 90 al. 3 LCR, celui qui, par une violation intentionnelle des règles fondamentales de la circulation, accepte de courir un grand risque d'accident pouvant entraîner de graves blessures ou la mort, notamment en commettant des excès de vitesse particulièrement importants, est puni d'une peine privative de liberté d'un à quatre ans. L'alinéa 3 est toujours applicable lorsque la vitesse maximale autorisée a été dépassée d'au moins 50 km/h, là où la limite était fixée à 50 km/h (art. 90 al. 4 let. b LCR; ATF 140 IV 133 consid. 3.2).</w:t>
      </w:r>
    </w:p>
    <w:p>
      <w:r>
        <w:rPr>
          <w:b/>
        </w:rPr>
        <w:t>E. 15</w:t>
      </w:r>
    </w:p>
    <w:p>
      <w:r>
        <w:t>Le Tribunal fédéral a notamment considéré que plusieurs excès de vitesse massif (« délit de chauffard ») ou un autre comportement en matière de circulation routière qui se révèle être particulièrement dangereux sans égard pour autrui peuvent constituer des indices suffisants pour une possible inaptitude à la conduite. On peut en déduire des motifs caractériels ou de santé psychique, qui justifient un retrait préventif du permis de conduire (cf. art. 90 al. 3 et 4 et 15d al. 1 let. c ; arrêt 1C_658/2015 du 20 juin 2016 consid. 2). Même un premier excès de vitesse massif peut, dans certaines circonstances, faire douter de l'aptitude à la conduite, ce qui justifie un retrait préventif et une expertise psychologique (cf. notamment arrêts du Tribunal fédéral 1C_154/2018 du 4 juillet 2018 consid. 4.3 ; 1C_658/2015 consid. 2 et 3 ; 1C_604/2012 du 17 mai 2013 consid. 6.1 et 6.2).</w:t>
      </w:r>
    </w:p>
    <w:p>
      <w:r>
        <w:t>Il a notamment retenu que pouvaient être considérées comme des indices permettant de mettre en doute l'aptitude caractérielle à la conduite d’un recourant sans antécédent, un dépassement de vitesse de 69 km/h, hors localité, sur une route ouverte au trafic motorisé dans les deux sens, où les voies n’étaient pas séparées par une barrière de sécurité et la vitesse limitée à 80 km/h. Des piétons et des cyclistes pouvant circuler le long de cette route, compte tenu de la vitesse élevée à laquelle roulait le recourant, un risque de collision avec un autre usager de la route était particulièrement élevé – malgré une bonne visibilité – et les conséquences d'une telle collision susceptibles d'être graves. Était également pris en compte le fait que le recourant ne s'était pas soucié de savoir à quelle vitesse il roulait et que son comportement ne lui avait pas paru dangereux pour lui-même ou pour des tiers. Au vu de ces éléments, il n'était pas arbitraire de considérer qu'un doute subsistait, au sens de l'art. 30 OAC, sur son aptitude à la conduite automobile. En effet, malgré les bonnes conditions météorologiques et routières, il avait commis un excès de vitesse massif avec une intention qualifiée en sortant volontairement du centre-ville afin de tester son nouveau motocycle (arrêt du Tribunal fédéral 1C_154/2018 du 4 juillet 2018 consid. 4.3).</w:t>
      </w:r>
    </w:p>
    <w:p>
      <w:r>
        <w:t>- 10/12 - A/614/2024</w:t>
      </w:r>
    </w:p>
    <w:p>
      <w:r>
        <w:rPr>
          <w:b/>
        </w:rPr>
        <w:t>E. 16</w:t>
      </w:r>
    </w:p>
    <w:p>
      <w:r>
        <w:t>À teneur de l'art. 42 al. 1 de la convention sur la circulation routière du 8 novembre 1968 (RS 0.741.10), conclue à Vienne le 8 novembre 1968, entrée en vigueur pour la Suisse le 11 décembre 1992 et pour la France le 9 décembre 1971, les parties contractantes ou leurs subdivisions peuvent retirer à un conducteur qui commet sur leur territoire une infraction susceptible d'entraîner le retrait du permis de conduire en vertu de leur législation le droit de faire usage sur leur territoire du permis de conduire, national ou international, dont il est titulaire.</w:t>
      </w:r>
    </w:p>
    <w:p>
      <w:r>
        <w:rPr>
          <w:b/>
        </w:rPr>
        <w:t>E. 17</w:t>
      </w:r>
    </w:p>
    <w:p>
      <w:r>
        <w:t>Le droit suisse prévoit que l'usage d'un permis étranger peut être interdit en vertu des dispositions qui s'appliquent au retrait du permis de conduire suisse (art. 45 al. 1 OAC ; cf. ATA/390/2018 du 24 avril 2018 consid. 3b).</w:t>
      </w:r>
    </w:p>
    <w:p>
      <w:r>
        <w:t>Les règles et principes énoncés ci-dessus sont donc applicables mutatis mutandis à l'interdiction de faire usage du permis de conduire étranger, notamment français, sur le territoire suisse.</w:t>
      </w:r>
    </w:p>
    <w:p>
      <w:r>
        <w:rPr>
          <w:b/>
        </w:rPr>
        <w:t>E. 18</w:t>
      </w:r>
    </w:p>
    <w:p>
      <w:r>
        <w:t>D'entrée de cause, le tribunal relèvera qu’il n'appartient ni au recourant ni, à ce stade, au tribunal de se déterminer sur la question de l'aptitude à la conduite de celui-là, à laquelle l'expertise requise par l'OCV doit répondre. La seule question qui se pose ici revient en effet à savoir s'il existe ou non des doutes sérieux quant à cette aptitude, susceptible de justifier la mise en œuvre d'une telle expertise, respectivement l'interdiction préventive de conduire en Suisse faite au recourant.</w:t>
      </w:r>
    </w:p>
    <w:p>
      <w:r>
        <w:rPr>
          <w:b/>
        </w:rPr>
        <w:t>E. 19</w:t>
      </w:r>
    </w:p>
    <w:p>
      <w:r>
        <w:t>En l’espèce, selon les éléments du rapport de police - qui suffisent au stade de la procédure de retrait préventif pour se prononcer selon le degré de vraisemblance, le recourant a commis un excès de vitesse de 55 km/h (95/40 km/h), marge de sécurité déduite, sur une route limitée à 40 km/h, soit plus du double de la vitesse maximale autorisée à l’endroit considéré.</w:t>
      </w:r>
    </w:p>
    <w:p>
      <w:r>
        <w:t>L’infraction a été commise en début de matinée, à 5h53, sur la route de Cartigny qui est ouverte au trafic motorisé dans les deux sens, les voies n’étant pas séparées par une barrière de sécurité et qui comprend une bande cyclable par sens de marche. Des piétons et cyclistes peuvent circuler le long de la route et sont donc directement exposés au trafic. Même si, à cette heure de la journée, le trafic était sans doute fluide, le risque de collision avec un autre usager de la route demeurait très important à une vitesse de l’ordre de 95 km/h en localité – malgré les bonnes conditions météorologiques et routières – et les conséquences d’une telle collision auraient inévitablement été d’une gravité extrême, voire mortelles, en particulier pour des piétons ou des cyclistes dont la présence ne pouvait être d’emblée exclue. Qu’il n’y en ait pas eu ne diminue en rien le risque qu’a pris le recourant sur le moment.</w:t>
      </w:r>
    </w:p>
    <w:p>
      <w:r>
        <w:t>Certes, le recourant n’a pas d’antécédents en matière d’infractions à la circulation routière, du moins en Suisse, et il invoque un stress exceptionnel durant la période considérée, en raison du prochain accouchement de sa femme et d'une surcharge professionnelle. Concernant son état psychologique durant la période considérée, celui-ci aurait au contraire dû alerter le recourant sur un possible manque de</w:t>
      </w:r>
    </w:p>
    <w:p>
      <w:r>
        <w:t>- 11/12 - A/614/2024 concentration et l'inciter à redoubler de prudence au guidon de sa moto, ce d'autant plus qu'il faisait encore nuit au moment de l'infraction. Quant au fait que les abords de la route ne se distingueraient pas entre le tronçon limité à 40 km/h et celui limité à 80 km/h, cet argument ne lui est d'aucun secours puisqu'il a expliqué qu'il empruntait quotidiennement ce parcours pour se rendre à son travail, ce qui permet de conclure qu'il n'ignorait pas la limitation de vitesse à 40 km/h à cet endroit, lui signalant par ailleurs qu'il pénétrait en localité.</w:t>
      </w:r>
    </w:p>
    <w:p>
      <w:r>
        <w:t>Ainsi, vu les circonstances, en particulier l’importance de l’excès de vitesse sur une route dépourvue de barrières de sécurité et l’attitude pour le moins désinvolte du recourant, qui ne s’est pas soucié de savoir à quelle vitesse il roulait ni du danger qu’il représentait pour les autres usagers de la route, sur un tronçon qu'il connaissait, l'OCV pouvait retenir que des doutes sérieux sur l’aptitude caractérielle à la conduite du recourant existaient. Ces doutes sont suffisants selon la jurisprudence du Tribunal fédéral pour justifier le retrait préventif du permis de conduire et l'expertise ordonnée à l’égard du recourant en application des art. 30 OAC 15d al.1 let. c LCR.</w:t>
      </w:r>
    </w:p>
    <w:p>
      <w:r>
        <w:t>En regard de l'intérêt public à la protection des usagers de la route, largement prépondérant, l'atteinte à l'intérêt privé de ce dernier demeure proportionnée. Sauf à statuer en opportunité, ce que la loi lui interdit (art. 61 al. 2 LPA), le tribunal ne saurait substituer son appréciation à celle de l'autorité intimée, étant souligné que lorsque le législateur a voulu conférer à l'autorité de décision un pouvoir d'appréciation dans l'application d'une norme, le juge qui, outrepassant son pouvoir d'examen, corrige l'interprétation ou l'application pourtant défendable de cette norme à laquelle ladite autorité a procédé, viole lui-même le principe de l'interdiction de l'arbitraire (cf. ATF 140 I 201 consid. 6.1 et les références citées).</w:t>
      </w:r>
    </w:p>
    <w:p>
      <w:r>
        <w:t>Enfin, il sera rappelé que lorsqu'il s'agit d'un retrait préventif, et mutatis mutandis d’une interdiction de faire usage en Suisse d’un permis étranger, il n'est pas critiquable de ne pas attendre l'issue de la procédure pénale et de statuer sans délai (cf. arrêt du Tribunal fédéral 1C_604/2012 du 17 mai 2013 consid. 5.2), le recourant ayant d’ailleurs admis l’intégralité des faits devant la police.</w:t>
      </w:r>
    </w:p>
    <w:p>
      <w:r>
        <w:rPr>
          <w:b/>
        </w:rPr>
        <w:t>E. 20</w:t>
      </w:r>
    </w:p>
    <w:p>
      <w:r>
        <w:t>La mesure querellée ne prête pas le flanc à la critique. Dès lors, le recours, mal fondé, sera rejeté.</w:t>
      </w:r>
    </w:p>
    <w:p>
      <w:r>
        <w:rPr>
          <w:b/>
        </w:rPr>
        <w:t>E. 21</w:t>
      </w:r>
    </w:p>
    <w:p>
      <w:r>
        <w:t>En application des art. 87 al. 1 LPA et 1 et 2 du règlement sur les frais, émoluments et indemnités en procédure administrative du 30 juillet 1986 (RFPA - E 5 10.03), le recourant, qui succombe, est condamné au paiement d’un émolument s'élevant à CHF 700.- ; il est partiellement couvert par l’avance de frais versée à la suite du dépôt du recours. Vu l’issue du litige, aucune indemnité de procédure ne sera allouée (art. 87 al. 2 LPA).</w:t>
      </w:r>
    </w:p>
    <w:p>
      <w:r>
        <w:t>- 12/12 - A/614/2024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