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JTAPI/647/2025 vom 16. Juni 2025</w:t>
      </w:r>
    </w:p>
    <w:p>
      <w:r>
        <w:t>GE Cour de justice, 2025-06-16, FR</w:t>
      </w:r>
    </w:p>
    <w:p>
      <w:r>
        <w:rPr>
          <w:b/>
        </w:rPr>
        <w:t xml:space="preserve">Quelle: </w:t>
      </w:r>
      <w:r>
        <w:t>https://mcp.opencaselaw.ch/entscheid/ge_gerichte_JTAPI_647_2025</w:t>
      </w:r>
    </w:p>
    <w:p>
      <w:r>
        <w:t>FR: GE_GERICHTE JTAPI/647/2025 du 16 juin 2025</w:t>
      </w:r>
    </w:p>
    <w:p>
      <w:r>
        <w:t>IT: GE_GERICHTE JTAPI/647/2025 del 16 giugno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cum art. 24 de loi sur l’imposition à la source des personnes physiques et morales du 23 septembre 1994 - aLISP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et au vu du revirement de l’argumentaire du recourant au stade du recours, il convient de préciser l’objet du litige. Le recourant ne conteste pas les reprises liées à l’année 2011, mais uniquement les bordereaux d’amende y relatifs. Quant aux bordereaux de rappel d’impôt et d’amende ICC et IFD 2012 et 2013, il les remet en cause uniquement pour le motif qu’il n’aurait pas été l’actionnaire de B______ SA lors de ces périodes-là, sans s’en prendre à leur quotité. Enfin, il conteste le refus de l'AFC-GE d’admettre en déduction les pensions alimentaires qu’il aurait versées à son épouse entre 2011 et 2013. Partant, le tribunal n’entrera en matière que sur ces trois points.</w:t>
      </w:r>
    </w:p>
    <w:p>
      <w:r>
        <w:rPr>
          <w:b/>
        </w:rPr>
        <w:t>E. 4</w:t>
      </w:r>
    </w:p>
    <w:p>
      <w:r>
        <w:t>S’agissant tout d’abord du bien-fondé des bordereaux d’amende ICC et IFD 2011, dans son mémoire de recours, le recourant indique que sa « culpabilité pour l'année 2011 » doit être « levée ou subsidiairement réduite au minimum légal, soit à 1/3 du montant de l'impôt ». Ce faisant, il semble s’en prendre tant au principe qu’à la quotité des amendes relatives à cette période.</w:t>
      </w:r>
    </w:p>
    <w:p>
      <w:r>
        <w:rPr>
          <w:b/>
        </w:rPr>
        <w:t>E. 5</w:t>
      </w:r>
    </w:p>
    <w:p>
      <w:r>
        <w:t>La nouvelle loi sur l’imposition à la source des personnes physiques et morales du 16 janvier 2020 (LISP - D 3 20), entrée en vigueur le 1er janvier 2021, stipule que</w:t>
      </w:r>
    </w:p>
    <w:p>
      <w:r>
        <w:t>- 10/20 - A/1585/2022 l’IS pour les prestations échues jusqu’au 31 décembre 2020 - comme celui en l’espèce - est régi par l’ancien droit (art. 22), à savoir la aLISP citée plus haut.</w:t>
      </w:r>
    </w:p>
    <w:p>
      <w:r>
        <w:rPr>
          <w:b/>
        </w:rPr>
        <w:t>E. 6</w:t>
      </w:r>
    </w:p>
    <w:p>
      <w:r>
        <w:t>Selon l’art. 83 al. 1 de la LIFD, en vigueur jusqu’au 31 décembre 2020 (ci-après : aLIFD), et art. 1 al. 1 aLISP, les travailleurs étrangers qui, sans être au bénéfice d’un permis d’établissement, sont, au regard du droit fiscal, domiciliés ou en séjour en Suisse, sont assujettis à un impôt perçu à la source sur le revenu de leur activité lucrative dépendante. Aux termes de l’art. 1 al. 3 let. b aLISP, ne sont pas assujettis à la perception de l’IS les contribuables « qui acquittent l’impôt sur la fortune dans le canton ».</w:t>
      </w:r>
    </w:p>
    <w:p>
      <w:r>
        <w:rPr>
          <w:b/>
        </w:rPr>
        <w:t>E. 6.3</w:t>
      </w:r>
    </w:p>
    <w:p>
      <w:r>
        <w:t>et les arrêts cités).</w:t>
      </w:r>
    </w:p>
    <w:p>
      <w:r>
        <w:t>S'agissant de savoir si une soustraction est intentionnelle ou procède d'une négligence, l'importance des montants en cause joue un rôle non négligeable, dès lors que l'absence d'un montant sur la déclaration d'impôt peut d'autant plus difficilement échapper au contribuable que la somme est élevée (cf. arrêts du Tribunal fédéral 2C_81/2022 du 25 novembre 2022 consid. 10.2 ; 2C_78/2019 du 20 septembre 2019 consid. 6.2 et les références).</w:t>
      </w:r>
    </w:p>
    <w:p>
      <w:r>
        <w:rPr>
          <w:b/>
        </w:rPr>
        <w:t>E. 7</w:t>
      </w:r>
    </w:p>
    <w:p>
      <w:r>
        <w:t>L’art. 90 al. 1 aLIFD prévoit que les personnes assujetties à l’IS sont imposables selon la procédure ordinaire « sur leurs revenus qui ne sont pas soumis à l’impôt à la source », au taux auquel leur revenu serait imposé si tous les éléments étaient imposables en Suisse (art. 7 aLIFD).</w:t>
      </w:r>
    </w:p>
    <w:p>
      <w:r>
        <w:t>Selon l’art. 5 al. 1 aLISP, intitulé « Taxation complémentaire », les personnes assujetties à l’IS sont soumises à un « impôt complémentaire sur les revenus qui n’ont pas été l’objet d’une retenue » de l’IS. L’impôt complémentaire est calculé au taux du revenu brut global.</w:t>
      </w:r>
    </w:p>
    <w:p>
      <w:r>
        <w:rPr>
          <w:b/>
        </w:rPr>
        <w:t>E. 8</w:t>
      </w:r>
    </w:p>
    <w:p>
      <w:r>
        <w:t>Pour les obligations incombant aux contribuables soumis au régime de l’IS, tant la aLIFD (cf. art. 90 al. 1) que la aLISP (cf. art. 27A al. 1) renvoient aux règles de procédure relatives à la taxation ordinaire, soit les art. 123 à 129 aLIFD, respectivement les art. 26 à 31 LPFisc.</w:t>
      </w:r>
    </w:p>
    <w:p>
      <w:r>
        <w:t>Selon ces dispositions, les contribuables sont invités, par publication officielle ou par l'envoi de la formule, à remplir et à déposer une formule de déclaration d'impôt. Le contribuable doit remplir la formule de déclaration d'impôt de manière conforme à la vérité et complète en indiquant notamment tous les éléments du revenu et de la fortune. Le contribuable doit retourner la formule de déclaration, même s'il n'est pas taxable ni imposable. Le fait de n'avoir pas reçu de formule de déclaration ne dispense pas du paiement des impôts, ni de l'obligation de faire une déclaration. Un avis est inséré chaque année dans la Feuille d'avis officielle (FAO) et publié par voie d'affiches avisant les contribuables de l'obligation de payer les impôts directs et invitant ceux qui sont tenus de faire une déclaration et qui n'ont pas reçu de formule à la retirer auprès du département. Le contribuable doit faire tout ce qui est nécessaire pour assurer une taxation complète et exacte (art. 124 al. 1 et 2 et 126 al. 1 aLIFD ; art. 26 al. 1 et 2, 27 al. 3, 28 et 31 al. 1 LPFisc). Lorsqu’il se heurte à une incertitude quant à un élément de fait, il ne doit pas la dissimuler, mais bien la signaler dans sa déclaration. Dans tous les cas, il doit décrire les faits de manière complète et objective (arrêt du Tribunal fédéral 2C_81/2022, 2C_102/2022 du 25 novembre 2022 consid. 7.1 et les références).</w:t>
      </w:r>
    </w:p>
    <w:p>
      <w:r>
        <w:t>Par ailleurs, dans ses directives concernant l’IS (consultables sur son site internet www.ge.ch./impôts), l'AFC-GE a précisé que « la fortune mobilière en Suisse et à l'étranger (livret d'épargne, bons de caisse, actions, obligations, etc.) et son</w:t>
      </w:r>
    </w:p>
    <w:p>
      <w:r>
        <w:t>- 11/20 - A/1585/2022 rendement doivent être obligatoirement déclarés chaque année », au moyen de la formule « Etat des Titres » qui pouvait être obtenue auprès d’elle (ch. 8.3 du chapitre « Obligations des contribuables »). Elle a en outre indiqué que les contribuables ayant d’autres sources de revenus que ceux soumis à l’IS doivent l’en informer par écrit et que ces revenus doivent être déclarés spontanément dans les premiers jours de l’année suivant celle de l’imposition concernée, mais au plus tard le 31 décembre de cette même année (ch. 8.1 dudit chapitre).</w:t>
      </w:r>
    </w:p>
    <w:p>
      <w:r>
        <w:t>Dans ses directives valables dès 2014 (publiées également sur son site internet), elle a rappelé ces mêmes obligations, ajoutant que la fortune mobilière pouvait être déclarée également au moyen du questionnaire fiscal concernant les étrangers au bénéfice d'un permis de séjour et qu’à défaut de déclaration des « autres revenus », la responsabilité du contribuable pourrait être engagée pour soustraction d’impôt (ch. 7.3 du chapitre « Droits et obligations des contribuables »).</w:t>
      </w:r>
    </w:p>
    <w:p>
      <w:r>
        <w:rPr>
          <w:b/>
        </w:rPr>
        <w:t>E. 9</w:t>
      </w:r>
    </w:p>
    <w:p>
      <w:r>
        <w:t>Aux termes des art. 69 al. 1 LPFisc et 175 al. 1 LIFD, est notamment puni d'une amende le contribuable qui, intentionnellement ou par négligence, fait en sorte qu'une taxation ne soit pas effectuée, alors qu'elle devrait l'être, ou qu'une taxation entrée en force soit incomplète.</w:t>
      </w:r>
    </w:p>
    <w:p>
      <w:r>
        <w:t>Pour que cette infraction soit retenue,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 du Tribunal fédéral 2C_41/2020 du 24 juin 2020 consid. 9.1). Les deux premières conditions sont des éléments constitutifs objectifs de la soustraction fiscale, tandis que la faute en est un élément constitutif subjectif (ATA/512/2021 du 11 mai 2021 consid. 4b).</w:t>
      </w:r>
    </w:p>
    <w:p>
      <w:r>
        <w:rPr>
          <w:b/>
        </w:rPr>
        <w:t>E. 10</w:t>
      </w:r>
    </w:p>
    <w:p>
      <w:r>
        <w:t>En l’espèce, la réalisation des conditions objectives, soit la violation d’une obligation légale et la perte fiscale qui en découle pour la collectivité, n’est pas contestée, mais uniquement celle de la faute, le recourant soutenant que sa « culpabilité pour l'année 2011 » devrait être « levée ou subsidiairement réduite au minimum légal ».</w:t>
      </w:r>
    </w:p>
    <w:p>
      <w:r>
        <w:rPr>
          <w:b/>
        </w:rPr>
        <w:t>E. 11</w:t>
      </w:r>
    </w:p>
    <w:p>
      <w:r>
        <w:t>La soustraction consommée est punissable aussi bien intentionnellement que par négligence (arrêt du Tribunal fédéral 2C_553/2018 du 17 juin 2019 consid. 4.2 et les références citées).</w:t>
      </w:r>
    </w:p>
    <w:p>
      <w:r>
        <w:t>Agit intentionnellement celui qui le fait avec conscience et volonté (art. 12 al. 2 du Code pénal suisse du 21 décembre 1937 - CP - RS 311.0 -,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w:t>
      </w:r>
    </w:p>
    <w:p>
      <w:r>
        <w:t>- 12/20 - A/1585/2022 élevée, ou du moins qu’il a agi par dol éventuel pour ce faire (ATA/1002/2020 du 6 octobre 2020 consid. 5b).</w:t>
      </w:r>
    </w:p>
    <w:p>
      <w:r>
        <w:t>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(arrêt du Tribunal fédéral 2C_78/2019 du 20 septembre 2019 consid. 6.2 ; ATA/222/2019 du 5 mars 2019 consid. 9a).</w:t>
      </w:r>
    </w:p>
    <w:p>
      <w:r>
        <w:t>Pour retenir l'intention, à tout le moins par dol éventuel, il faut toutefois que le contribuable eût été en mesure de reconnaître le caractère erroné de la déclaration fiscale s'il avait agi avec la diligence requise et qu'il eût ainsi été en mesure de la faire corriger (arrêt du Tribunal fédéral 2C_78/2019 du 20 septembre 2019 consid.</w:t>
      </w:r>
    </w:p>
    <w:p>
      <w:r>
        <w:rPr>
          <w:b/>
        </w:rPr>
        <w:t>E. 12</w:t>
      </w:r>
    </w:p>
    <w:p>
      <w:r>
        <w:t>Selon la jurisprudence, la conformité du comportement du contribuable à ses obligations légales s'examine de manière objective, et non suivant la représentation subjective que celui-ci avait des événements à l'époque (ATA/203/2014 du 1er avril 2014 consid. 6c). En outre, les administrés ne sauraient se prévaloir de leur méconnaissance du droit (cf. not. ATF 126 V 308 consid. 2b ; arrêt du Tribunal fédéral 8C_716/2010 du 3 octobre 2011 consid. 6).</w:t>
      </w:r>
    </w:p>
    <w:p>
      <w:r>
        <w:rPr>
          <w:b/>
        </w:rPr>
        <w:t>E. 13</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Il ne faut pas que le contribuable qui se fait représenter soit</w:t>
      </w:r>
    </w:p>
    <w:p>
      <w:r>
        <w:t>- 13/20 - A/1585/2022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précité consid. 3).</w:t>
      </w:r>
    </w:p>
    <w:p>
      <w:r>
        <w:rPr>
          <w:b/>
        </w:rPr>
        <w:t>E. 14</w:t>
      </w:r>
    </w:p>
    <w:p>
      <w:r>
        <w:t>En l’espèce, en 2011, le recourant était soumis à l’IS, de sorte que l’impôt sur son salaire a été prélevé directement par B______ Sàrl. Il a cependant omis de déclarer en sus sa fortune mobilière et les rendements de celle-ci, expliquant à ce sujet avoir ignoré cette obligation, dont il n’aurait pas été informé par sa comptable, Mme C______. En tant qu’homme d’affaires expérimenté, domicilié à Genève depuis 1997, y travaillant et y ayant installé son entreprise, il n’est pas crédible que le recourant n’ait pas eu connaissance de ses obligations fiscales, soit en particulier de ce qu’il lui incombait d’informer l’AFC-GE de l’état de sa fortune et des rendements de celle-ci, étant relevé que s’il l’avait fait, il n’aurait pas été assujetti à l’IS (art. 1 al. 3 let. b aLISP). Les informations fiscales utiles sont en tout état facilement accessibles en ligne, en particulier sur le site internet officiel www.ch.ch, dont la rubrique concernant les impôts lui aurait confirmé, en quelques clics, que les cantons suisses prélèvent un impôt sur la fortune (cf. https://www.ch.ch/en/taxes- and-finances/tax-return#declaring-your-assets).</w:t>
      </w:r>
    </w:p>
    <w:p>
      <w:r>
        <w:t>C’est pour le surplus vainement que le recourant se prévaut de l’absence d’information reçue de la comptable de sa société. Celle-ci n’a en effet, à teneur du dossier, pas été mandatée pour s’occuper de sa situation fiscale personnelle, mais pour gérer la comptabilité de B______ Sàrl, dont le prélèvement de l’IS. Il n’apparaît en conséquence pas que le recourant l’aurait chargée de s’occuper de ses impôts et que, nanties de toutes les informations utiles, elle lui aurait indiqué qu’il n’avait aucune autre obligation à remplir à l'égard de l’AFC-GE. Cas échéant, une telle erreur aurait au demeurant été reconnaissable, dès lors qu’il est manifeste qu’en communiquant uniquement le montant de son salaire, son dossier fiscal était incomplet.</w:t>
      </w:r>
    </w:p>
    <w:p>
      <w:r>
        <w:t>Il résulte de ce qui précède que la faute du recourant relève, à tout le moins, du dol éventuel. En tout état, elle est manifestement grave. En effet, il n’a effectué aucune démarche pour s’assurer qu’il remplissait bien toutes ses obligations fiscales, se contentant de la perception de l’IS par sa société. Sa prétendue méconnaissance de la comptabilité et de la fiscalité suisse n’atténue en rien sa responsabilité dans la mesure où il incombe à tout citoyen d’adresser à l’AFC-GE des déclarations fiscales complètes et conformes à la réalité en se renseignant, au besoin, auprès de l’administration sur ses obligations à cet égard. Du reste, ces obligations fiscales étaient dûment indiquées sur le site internet de cette dernière.</w:t>
      </w:r>
    </w:p>
    <w:p>
      <w:r>
        <w:t>- 14/20 - A/1585/2022</w:t>
      </w:r>
    </w:p>
    <w:p>
      <w:r>
        <w:t>Ainsi, la condition subjective de la soustraction fiscale, relative à l’année fiscale 2011, est également réalisée.</w:t>
      </w:r>
    </w:p>
    <w:p>
      <w:r>
        <w:rPr>
          <w:b/>
        </w:rPr>
        <w:t>E. 15</w:t>
      </w:r>
    </w:p>
    <w:p>
      <w:r>
        <w:t>Le recourant fait valoir la réduction de la quotité des amendes ICC et IFD 2011 au minimum légal, soit 1/3 des impôts soustraits.</w:t>
      </w:r>
    </w:p>
    <w:p>
      <w:r>
        <w:rPr>
          <w:b/>
        </w:rPr>
        <w:t>E. 16</w:t>
      </w:r>
    </w:p>
    <w:p>
      <w:r>
        <w:t>En cas de soustraction consommée (art. 175 LIFD et 69 LPFisc), l’amende est fixée, en règle générale, au montant de l’impôt soustrait. Si la faute est légère, l’amende peut être réduite jusqu’au tiers de ce montant ; si la faute est grave, elle peut au plus être triplée (art. 175 al. 2 LIFD et 69 al. 2 LPFisc).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du 14 juin 2016 consid. 10). Il convient notamment de réduire le montant de l'amende lorsque le contribuable a agi par négligence, celle-ci devant être considérée comme un cas de faute légère (Diane MONTI, Les contraventions fiscales en droit fiscal harmonisé, 2002, p. 70).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En présence d'une infraction intentionnelle sans circonstances particulières, l'amende équivaut en règle générale au montant de l'impôt soustrait (aux deux tiers en cas de tentative; cf. art. 176 al. 2 LIFD). En cas de faute grave, l'amende doit donc en principe être supérieure à une fois l'impôt soustrait et peut être au plus triplée (cf. art. 175 al. 2 LIFD). La quotité précise de l'amende doit par ailleurs être fixée en tenant compte des dispositions de la partie générale du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s. et les références).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w:t>
      </w:r>
    </w:p>
    <w:p>
      <w:r>
        <w:t>- 15/20 - A/1585/2022 SANSONETTI/Danielle HOSTETTLER, Commentaire romand, Impôt fédéral direct, 2017, n. 47 ad art. 175 et les références citées).</w:t>
      </w:r>
    </w:p>
    <w:p>
      <w:r>
        <w:t>Par ailleurs,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rPr>
          <w:b/>
        </w:rPr>
        <w:t>E. 17</w:t>
      </w:r>
    </w:p>
    <w:p>
      <w:r>
        <w:t>En l’espèce, comme constaté plus haut, la faute du recourant est intentionnelle et grave, si bien qu’une réduction des amendes ICC et IFD 2011, au motif qu’il aurait commis une faute légère, est exclue. On ne voit en outre pas, compte tenu des éléments figurant au dossier, que la quotité des amendes infligées - correspondant aux 3/4 des impôts soustraits - procéderait d'un abus du pouvoir d'appréciation de l'AFC-GE. En effet, celle-ci a tenu compte, à la décharge du recourant, de sa bonne collaboration et du fait d’avoir également infligé des amendes à sa société, et, à sa charge, de l'importance des montants soustraits consécutivement sur trois périodes fiscales. Sous cet angle, les amendes respectent parfaitement le cadre fixé par la loi. Pour sa part, le recourant ne se prévaut d’aucune autre circonstance atténuante supplémentaire qui justifierait que sa peine soit encore diminuée. Partant, ces amendes doivent être confirmées également dans leur quotité.</w:t>
      </w:r>
    </w:p>
    <w:p>
      <w:r>
        <w:rPr>
          <w:b/>
        </w:rPr>
        <w:t>E. 18</w:t>
      </w:r>
    </w:p>
    <w:p>
      <w:r>
        <w:t>En second lieu, le recourant conteste avoir été l’actionnaire de B______ SA en 2012 et 2013 et soutient qu’en conséquence les prestations appréciables en argent relatives à ces années ne peuvent être imposées auprès de lui. Ce faisant, il ne soulève aucun grief concret contre les bordereaux de rappel d’impôt et d’amende, en tant que tels, relatifs à ces périodes.</w:t>
      </w:r>
    </w:p>
    <w:p>
      <w:r>
        <w:rPr>
          <w:b/>
        </w:rPr>
        <w:t>E. 19</w:t>
      </w:r>
    </w:p>
    <w:p>
      <w:r>
        <w:t>En préambule, il doit être rappelé qu’en vertu des art. 20 al. 1 let. c LIFD et 22 al. 1 let. c la loi sur l’imposition des personnes physiques du 27 septembre 2009 (LIPP - D 3 08), sont notamment imposables les dividendes et tous autres avantages appréciables en argent provenant de participations de tout genre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(ATF 140 II 88 consid. 4.1 ; 138 II 57 consid. 2.2).</w:t>
      </w:r>
    </w:p>
    <w:p>
      <w:r>
        <w:t>- 16/20 - A/1585/2022 Les formes d'apparition des prestations appréciables en argent sont multiples. Une prestation appréciable en argent peut ainsi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w:t>
      </w:r>
    </w:p>
    <w:p>
      <w:r>
        <w:rPr>
          <w:b/>
        </w:rPr>
        <w:t>E. 20</w:t>
      </w:r>
    </w:p>
    <w:p>
      <w:r>
        <w:t>La procédure administrative est régie par la maxime inquisitoire, selon laquelle le juge établit les faits d'office. Ce principe n'est pas absolu, sa portée étant restreinte par le devoir des parties de collaborer à la constatation des faits.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(ATA/773/2024 du 25 juin 2024 consid. 3.4 et les références citées).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(ATA/773/2024 précité consid. 3.4 et les réf.).</w:t>
      </w:r>
    </w:p>
    <w:p>
      <w:r>
        <w:rPr>
          <w:b/>
        </w:rPr>
        <w:t>E. 21</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w:t>
      </w:r>
    </w:p>
    <w:p>
      <w:r>
        <w:t>- 17/20 - A/1585/2022 Tribunal fédéral 2C_32/2020 du 8 juin 2020 consid. 3.5 ; ATA/513/2021 du 11 mai 2021 consid. 5b). De plus,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(ATA/773/2024 du 25 juin 2024 consid. 4.4 et les arrêts cités).</w:t>
      </w:r>
    </w:p>
    <w:p>
      <w:r>
        <w:rPr>
          <w:b/>
        </w:rPr>
        <w:t>E. 22</w:t>
      </w:r>
    </w:p>
    <w:p>
      <w:r>
        <w:t>Par ailleurs,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ATA/773/2024 du 25 juin 2024 consid. 4.4 : ATA/791/2023 du 18 juillet 2023 consid. 7.7 ; ATA/184/2023 du 28 février 2023 consid. 3.3).</w:t>
      </w:r>
    </w:p>
    <w:p>
      <w:r>
        <w:rPr>
          <w:b/>
        </w:rPr>
        <w:t>E. 23</w:t>
      </w:r>
    </w:p>
    <w:p>
      <w:r>
        <w:t>En l’espèce, tout au long des procédures de rappel d’impôt et de réclamation, menées devant l'AFC-GE, le recourant, assisté du même mandataire que celui qui le représente dans le cadre de la présente procédure (qui indique être juriste de formation), n’a non seulement pas contesté être l’actionnaire de B______ SA, mais s’est, au contraire et à plusieurs reprises, expressément prévalu de cette qualité, en prétendant que cette dernière était « sa société » lors des années en cause. Ainsi, dans le courrier adressé à l'AFC-GE le 26 juillet 2021, il a soutenu que ni lui-même « ni sa société » B______ SA n’avaient jamais voulu « frauder les impôts ». Ensuite, dans les formules des déclarations fiscales 2011 à 2013, remises à l'AFC- GE le 20 septembre 2021 après y avoir apposé sa signature, il a clairement mentionné détenir l’entier du capital-actions de B______ SA (100 titres) et en avoir perçu des rendements correspondant aux reprises opérées par l'AFC-GE. En outre, dans la « plaidoirie » de son conseil dans la procédure de son divorce, il est précisé qu’il était « le seul actionnaire » de B______ SA. Par ailleurs, dans sa réclamation du 23 décembre 2021, il a notamment reproché à l'AFC-GE de vouloir mettre en faillite tant lui-même que « sa société ». A cela s’ajoute qu’il n’a donné aucune suite au courrier de l'AFC-GE du 15 décembre 2020, l’informant de l’ouverture des procédures à son encontre et le désignant clairement comme actionnaire de cette société et bénéficiaire des prestations versées par celle-ci. Dans ces conditions, le recourant ne peut être suivi lorsqu’il prétend, pour la première fois au stade du recours, qu’il n’aurait finalement pas été l’actionnaire de B______ SA en 2012 et 2013, ce d’autant moins que les documents produits à cet effet n’emportent pas la conviction du tribunal. En effet, la copie du procès-verbal de l’assemblée générale de B______ Sàrl (cf. pièce n° 7 du chargé du recourant),</w:t>
      </w:r>
    </w:p>
    <w:p>
      <w:r>
        <w:t>- 18/20 - A/1585/2022 daté du 16 décembre 2011 et signé uniquement par ce dernier et Mme C______, fait seulement état « d’un acte de cession des parts sociales », sans aucune autre précision. Ce document n’indique ni les motifs ni les conditions de la « cession » dont il est question. En particulier, il ne mentionne aucunement qu’il s’agirait d’une vente ou d’une donation, se limitant à indiquer que le recourant « déclare céder [ses] 76 parts » à Mme C______, ce en l’absence de toute contreprestation. Ainsi, dépourvu tant du prix de la transaction que de la volonté de donner, cet acte ne constitue ni un contrat de vente ni de donation. Dans ces conditions, on ne saurait admettre que, par un tel acte, le recourant a valablement transféré ses titres à la précitée et ainsi cessé d’être l’actionnaire de B______ SA dès fin 2011. Du reste, au vu du dossier, ce prétendu transfert d’actions n’a pas été soumis à l’enregistrement, alors qu’il devait l’être (cf. art. 93 de la loi sur les droits d'enregistrement du 9 octobre 1969 - LDE - D 3 30). Par voie de conséquence, le « certificat d’action » (daté du 27 juin 2012, signé par Mme C______ et indiquant que celle-ci est l’unique actionnaire de B______ SA ; cf. pièce n° 9 du chargé du recourant) et l’extrait du « registres des actions » (signée uniquement par le recourant et la précitée ; cf. pièce n° 10 du chargé du recourant) n’ont aucune force probante. De fait, toutes ces pièces semblent avoir été établies uniquement pour les besoins de la cause, suite au changement de stratégie de défense du recourant, dans la mesure où ce dernier n’explique pas pour quels motifs il ne les a pas déjà produites devant l'AFC-GE. Quant à son affirmation qu’il ne se rendait pas compte, à l’époque, qu’il n’était pas l’actionnaire de B______ SA, elle est dénuée de tout crédit et, au demeurant, contraire à ses propres déclarations (cf. notamment dans ce sens les formules de ses déclarations fiscales 2012 et 2013, dans lesquelles il indique expressément être l’unique actionnaire de B______ SA et en avoir perçu des rendements correspondant aux reprises effectuées par l’autorité intimée). Enfin, il est piquant de constater que Mme C______ n’a jamais déclaré les titres de B______ SA comme les siens propres. Au vu de ce qui précède, le tribunal retiendra que le recourant a effectivement été l’actionnaire de B______ SA en 2012 et 2013 et que, en conséquence, les prestations appréciables en argent relatives à ces deux périodes doivent lui être attribuées. Pour le surplus, le précité ne soulevant aucun grief concret contre ces prestations, en particulier en ce qui concerne leur montant, elles ne peuvent qu’être confirmées, tant dans leur principe que dans leur quotité. Il en résulte que les bordereaux de rappel d’impôt et d’amende ICC et IFD 2012 et 2013 doivent être confirmés, étant rappelé que le recourant ne les remet pas en cause en tant que tels, mais uniquement dans la mesure où il ne serait pas considéré comme l’actionnaire de la société, ce qui, comme on l’a vu, ne saurait être le cas.</w:t>
      </w:r>
    </w:p>
    <w:p>
      <w:r>
        <w:rPr>
          <w:b/>
        </w:rPr>
        <w:t>E. 24</w:t>
      </w:r>
    </w:p>
    <w:p>
      <w:r>
        <w:t>Le recourant fait enfin valoir la déduction des pensions alimentaires qu’il a versées sur un compte commun qu’il détenait avec son épouse en France.</w:t>
      </w:r>
    </w:p>
    <w:p>
      <w:r>
        <w:rPr>
          <w:b/>
        </w:rPr>
        <w:t>E. 25</w:t>
      </w:r>
    </w:p>
    <w:p>
      <w:r>
        <w:t>En matière de pensions alimentaires au sens des art. 33 al. 1 let. c LIFD et 33 LIPP, la jurisprudence a précisé qu’il est exclu que le versement soit effectué sur un</w:t>
      </w:r>
    </w:p>
    <w:p>
      <w:r>
        <w:t>- 19/20 - A/1585/2022 compte sur lequel la personne qui demande la déduction pour contributions d'entretien bénéficie d'un libre pouvoir de disposition. Cela permettrait au contribuable de verser un montant, de bénéficier d'une déduction fiscale, puis de reprendre ce montant et d'en disposer librement (arrêt du Tribunal fédéral 2C_380/2020 du 19 novembre 2020 consid. 4.5).</w:t>
      </w:r>
    </w:p>
    <w:p>
      <w:r>
        <w:rPr>
          <w:b/>
        </w:rPr>
        <w:t>E. 26</w:t>
      </w:r>
    </w:p>
    <w:p>
      <w:r>
        <w:t>En l’espèce, dès lors que le recourant admet avoir versé les pensions alimentaires dont il demande la déduction sur un compte commun, sur lequel il avait libre accès, leur déduction doit être refusée, pour ce motif déjà. A cela s’ajoute qu’il n’a produit aucun jugement ou convention l’obligeant à verser une pension alimentaire mensuelle de EUR 5'000.- à son épouse. Par ailleurs, dans sa réclamation, il a prétendu que les sommes versées sur le compte commun (CHF 72'834.- en 2021, CHF 72'408.- en 2012 et CHF 73'530.- en 2013) comprenaient également des contributions à l’entretien de « leur maison » et de sa mère. Or, dans ses déclarations qu’il a remises à l'AFC-GE le 20 septembre 2021, il n’a pas fait valoir ces contributions.</w:t>
      </w:r>
    </w:p>
    <w:p>
      <w:r>
        <w:rPr>
          <w:b/>
        </w:rPr>
        <w:t>E. 27</w:t>
      </w:r>
    </w:p>
    <w:p>
      <w:r>
        <w:t>Au vu de ce qui précède, le recours, en tout point mal fondé, sera rejeté.</w:t>
      </w:r>
    </w:p>
    <w:p>
      <w:r>
        <w:rPr>
          <w:b/>
        </w:rPr>
        <w:t>E. 28</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 recourant, qui succombe, est condamné au paiement d’un émolument s'élevant à CHF 1’500.- ; il est partiellement couvert par l’avance de frais versée à la suite du dépôt du recours. 29. Vu l’issue du litige, aucune indemnité de procédure ne sera allouée (art. 87 al. 2 LPA).</w:t>
      </w:r>
    </w:p>
    <w:p>
      <w:r>
        <w:t>- 20/20 - A/1585/2022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