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JTAPI/647/2024 vom 24. Juni 2024</w:t>
      </w:r>
    </w:p>
    <w:p>
      <w:r>
        <w:t>GE Cour de justice, 2024-06-24, FR</w:t>
      </w:r>
    </w:p>
    <w:p>
      <w:r>
        <w:rPr>
          <w:b/>
        </w:rPr>
        <w:t xml:space="preserve">Quelle: </w:t>
      </w:r>
      <w:r>
        <w:t>https://mcp.opencaselaw.ch/entscheid/ge_gerichte_JTAPI_647_2024</w:t>
      </w:r>
    </w:p>
    <w:p>
      <w:r>
        <w:t>FR: GE_GERICHTE JTAPI/647/2024 du 24 juin 2024</w:t>
      </w:r>
    </w:p>
    <w:p>
      <w:r>
        <w:t>IT: GE_GERICHTE JTAPI/647/2024 del 24 giugno 2024</w:t>
      </w:r>
    </w:p>
    <w:p>
      <w:pPr>
        <w:pStyle w:val="Heading2"/>
      </w:pPr>
      <w:r>
        <w:t>Erwägungen</w:t>
      </w:r>
    </w:p>
    <w:p>
      <w:r>
        <w:rPr>
          <w:b/>
        </w:rPr>
        <w:t>E. 1</w:t>
      </w:r>
    </w:p>
    <w:p>
      <w:r>
        <w:t>Le Tribunal administratif de première instance connaît des recours dirigés, comme en l’espèce, contre les décisions sur réclamation de l’administration fiscale cantonale (art. 115 al. 2 et 116 al. 1 de la loi sur l’organisation judiciaire du 26 septembre 2010 - LOJ - E 2 05 ; art. 49 de la loi de procédure fiscale du 4 octobre 2001 - LPFisc - D 3 17).</w:t>
      </w:r>
    </w:p>
    <w:p>
      <w:r>
        <w:rPr>
          <w:b/>
        </w:rPr>
        <w:t>E. 2</w:t>
      </w:r>
    </w:p>
    <w:p>
      <w:r>
        <w:t>Interjeté en temps utile et dans les formes prescrites devant la juridiction compétente, le recours est recevable au sens de l’art. 49 LPFisc.</w:t>
      </w:r>
    </w:p>
    <w:p>
      <w:r>
        <w:rPr>
          <w:b/>
        </w:rPr>
        <w:t>E. 3</w:t>
      </w:r>
    </w:p>
    <w:p>
      <w:r>
        <w:t>Le recourant conteste l’évaluation de la participation qu’il détient dans la SARL.</w:t>
      </w:r>
    </w:p>
    <w:p>
      <w:r>
        <w:rPr>
          <w:b/>
        </w:rPr>
        <w:t>E. 4</w:t>
      </w:r>
    </w:p>
    <w:p>
      <w:r>
        <w:t>Selon l’art. 13 al. 1 de la loi fédérale sur l’harmonisation des impôts directs des cantons et des communes du 14 décembre 1990 (LHID - RS 642.14), l’impôt sur la fortune a pour objet l’ensemble de la fortune nette. Selon l’art. 14 al. 1 LHID, la fortune est estimée à la valeur vénale. Toutefois, la valeur de rendement peut être prise en considération de façon appropriée. La valeur vénale est la valeur marchande objective d’un actif à un moment donné. Il s’agit de la valeur qu’un acheteur paierait normalement dans des circonstances</w:t>
      </w:r>
    </w:p>
    <w:p>
      <w:r>
        <w:t>- 8/14 - A/2538/2023 normales (arrêt du Tribunal fédéral 2C_954/2020 du 26 juillet 2021 consid. 5.1 ; ATA/261/2024 du 27 février 2024 consid. 3.1).</w:t>
      </w:r>
    </w:p>
    <w:p>
      <w:r>
        <w:rPr>
          <w:b/>
        </w:rPr>
        <w:t>E. 5</w:t>
      </w:r>
    </w:p>
    <w:p>
      <w:r>
        <w:t>Dans le canton de Genève, la LIPP prévoit également que l’impôt sur la fortune a pour objet l’ensemble de la fortune nette après déductions sociales (art. 46 LIPP), qui comprend notamment les actions, les obligations et les valeurs mobilières de toute nature (art. 47 let. b LIPP). Selon l’art. 49 LIPP, l’état de la fortune mobilière et immobilière est établi au 31 décembre de l’année pour laquelle l’impôt est dû (al. 1). La fortune est estimée en général à la valeur vénale (al. 2).</w:t>
      </w:r>
    </w:p>
    <w:p>
      <w:r>
        <w:rPr>
          <w:b/>
        </w:rPr>
        <w:t>E. 6</w:t>
      </w:r>
    </w:p>
    <w:p>
      <w:r>
        <w:t>L’évaluation des titres non cotés a fait l’objet de la circulaire n° 28. La Conférence suisse des impôts édite annuellement un commentaire (ci-après : commentaire) en lien avec cette circulaire pour refléter la pratique et tenir compte de la jurisprudence.</w:t>
      </w:r>
    </w:p>
    <w:p>
      <w:r>
        <w:rPr>
          <w:b/>
        </w:rPr>
        <w:t>E. 7</w:t>
      </w:r>
    </w:p>
    <w:p>
      <w:r>
        <w:t>La circulaire n° 28, qui a rencontré l’approbation du Tribunal fédéral (arrêts 2C_59/2022 du 15 septembre 2022 ; 2C_954/2020 du 26 juillet 2021 ; 2C_132/2020 du 26 novembre 2020 consid. 8.1.2, non publié in ATF 147 II 155 et les arrêts cités), a pour objectif l’estimation uniforme en Suisse, pour l’impôt sur la fortune, des titres nationaux et étrangers qui ne sont négociés dans aucune bourse. Les principes d’estimation doivent être choisis de manière à ce que le résultat se rapproche au mieux de la réalité économique, la circulaire n° 28 contenant des instructions à cet égard, auxquelles il peut être dérogé, pour des motifs d’égalité de traitement, lorsque leur application se révélerait contraire au droit ou si la valeur vénale d’un titre peut être ainsi mieux évaluée (commentaire, p. 2).</w:t>
      </w:r>
    </w:p>
    <w:p>
      <w:r>
        <w:rPr>
          <w:b/>
        </w:rPr>
        <w:t>E. 8</w:t>
      </w:r>
    </w:p>
    <w:p>
      <w:r>
        <w:t>Selon la circulaire n° 28, l’activité effective d’une société détermine son mode d’estimation (ch. 6), les titres et participations cotés en bourse doivent figurer au cours de clôture du dernier jour de bourse de la période fiscale correspondante (ch. 23 al. 1) et les titres et participations non cotés sont estimés selon les présentes Instructions, mais au minimum à leur valeur comptable. On peut s’écarter de cette règle dans des cas justifiés (ch. 24 al. 1). C’est ainsi l’approche « technique » ou « juridique » qui est déterminante pour la détermination de la valeur vénale et non une approche « économique » subjective. Ainsi, le contribuable concerné ne peut pas soutenir une valeur patrimoniale qui se baserait sur des circonstances individuelles (par exemple suite à la présentation d’une convention d’actionnaires) (décision de la commission cantonale de recours en matière d’impôts du canton de Zurich du 21 octobre 2015 en la cause 1 ST.2015.35 ; commentaire, p. 3).</w:t>
      </w:r>
    </w:p>
    <w:p>
      <w:r>
        <w:rPr>
          <w:b/>
        </w:rPr>
        <w:t>E. 9</w:t>
      </w:r>
    </w:p>
    <w:p>
      <w:r>
        <w:t>La circulaire n° 28 stipule que les titres d’une société holding pure sont estimés selon la valeur substantielle de la société (ch. 38). Les titres et participations détenus par la société sont estimés selon les chiffres 23 et 24 (ch. 39). À teneur du commentaire, sont réputées sociétés de financement pures seules les sociétés dont l’activité commerciale se limite à la mise à disposition du capital à</w:t>
      </w:r>
    </w:p>
    <w:p>
      <w:r>
        <w:t>- 9/14 - A/2538/2023 l’intérieur du groupe ou à des sociétés apparentées. Lesdites sociétés sont estimées sur la base de leur valeur intrinsèque. Sont considérées comme des sociétés de gérance de fortune celles qui se limitent à la gestion de leur propre patrimoine. Sont également considérées comme telles, les sociétés qui fournissent des services à des tiers si les services fournis n’ont qu’une importance secondaire par rapport au propre patrimoine géré. Lesdites sociétés sont estimées sur la base de leur valeur intrinsèque. Tant les sociétés de financement que les sociétés de gérance de fortune dont l’activité commerciale consiste dans la fourniture de prestations de service à des tiers indépendants et qui sont de ce fait actives sur le plan opérationnel sont estimées conformément au ch. 34 s de la circulaire n° 28 (p. 50).</w:t>
      </w:r>
    </w:p>
    <w:p>
      <w:r>
        <w:rPr>
          <w:b/>
        </w:rPr>
        <w:t>E. 10</w:t>
      </w:r>
    </w:p>
    <w:p>
      <w:r>
        <w:t>S’agissant de l’évaluation des sociétés commerciales, industrielles et de services, le ch. 34 de la circulaire n° 28 prescrit que la valeur de l’entreprise résulte de la moyenne pondérée entre la valeur de rendement (ch. 7 à 10) qui est doublée, d’une part, et la valeur substantielle (ch. 11 à 14) déterminée selon le principe de continuation de l’exploitation, d’autre part. Des événements exceptionnels, déjà prévisibles le jour déterminant - par exemple des restructurations avec des conséquences durables sur la valeur de rendement -, peuvent être pris en compte de manière appropriée lors de l’établissement de la valeur de rendement (ch. 8 par. 3). Le commentaire précise que même si elles sont importantes, des fluctuations de rendement ne justifient pas de déroger à la circulaire n° 28, car des oscillations conjoncturelles sont à considérer comme immanentes au système économique, avec des effets qui profitent tantôt au fisc, tantôt au contribuable (p. 46 et la référence citée). En outre, le commentaire admet que dans des cas exceptionnels, une entreprise ne peut, être aliénée ou difficilement aliénable à la valeur de rendement, par exemple lorsque son rendement repose exclusivement ou presque exclusivement sur la performance d’une personne unique détenant la totalité ou la majorité des droits de participation de celle-ci (participations &gt; 50%). Si la création de valeur de l’entreprise est obtenue uniquement par le détenteur d’une participation majoritaire et si l’entreprise n’emploie pas d’autres personnes, hormis quelques personnes occupées à des tâches d’administration et de logistique, l’autorité d’estimation peut, sur demande de l’entreprise, prendre en considération cette situation par une pondération simple de la valeur de rendement (c’est-à-dire non doublée) et de la valeur de substance. Une fois déterminée de cette manière, la valeur de l’entreprise est appliquée à tous les titres émis, notamment pour les actionnaires minoritaires. Il ne peut être appliqué aucune déduction forfaitaire supplémentaire (p. 10). Enfin, la perspective certaine d’une augmentation de l’impôt spécial sur l’activité économique privée ne suffit pas à réduire la valeur de rendement. Une telle perspective n’est pas une des situations exceptionnelles visées par les Instructions. En réalité, de petits changements influençant les conditions-cadres de l’économie ont lieu presque quotidiennement. On peut évoquer à cet égard les fluctuations de taux de change, l’évolution incertaine du prix du pétrole ou des intérêts. Tous ces</w:t>
      </w:r>
    </w:p>
    <w:p>
      <w:r>
        <w:t>- 10/14 - A/2538/2023 facteurs peuvent largement modifier la rentabilité d’une entreprise, mais ne suffisent pas à justifier une réduction de la valeur de rendement (commentaire, p. 14).</w:t>
      </w:r>
    </w:p>
    <w:p>
      <w:r>
        <w:rPr>
          <w:b/>
        </w:rPr>
        <w:t>E. 11</w:t>
      </w:r>
    </w:p>
    <w:p>
      <w:r>
        <w:t>La valeur substantielle de l’entreprise se détermine comme suit : Le ch. 11 prévoit que l’appréciation de la valeur substantielle se base sur les comptes annuels (n) (al. 1). Si la société estimée ne clôture pas son exercice commercial à la fin de l’année civile et qu’un dividende est distribué entre la clôture des comptes (n) et le 31 décembre (n), ce dividende doit par conséquent être déduit de la valeur substantielle (al. 2). Les actifs et passifs doivent être pris en considération dans leur intégralité (ch. 12). Seul le capital social versé est pris en considération pour l’estimation (ch. 13). Enfin, les passifs doivent être subdivisés en fonds étrangers et en fonds propres. Les réserves de crise, de réévaluation et de remplacement, les provisions à des fins de remplacement, les réserves latentes imposées ainsi que les réserves comptabilisées sous le poste créancier sont également considérées comme des fonds propres (ch. 14).</w:t>
      </w:r>
    </w:p>
    <w:p>
      <w:r>
        <w:rPr>
          <w:b/>
        </w:rPr>
        <w:t>E. 12</w:t>
      </w:r>
    </w:p>
    <w:p>
      <w:r>
        <w:t>Selon le principe de l’autorité du bilan commercial, qui est déterminant en droit fiscal, les comptes établis conformément aux règles du droit commercial lient les autorités fiscales, à moins que le droit fiscal ne prévoie des règles correctrices spécifiques. Selon ce principe, le contribuable est lié par la situation patrimoniale de la période fiscale, telle qu’elle ressort des livres de compte régulièrement établis. Le principe de déterminance formel implique que le contribuable est lié par les écritures enregistrées dans les comptes qu’il remet avec sa déclaration fiscale. Il ne peut, sous réserve de dispositions légales spécifiques du droit fiscal ou de l’application du principe de la bonne foi, se prévaloir d’une réalité autre que celle ressortant des comptes commerciaux (ATF 137 II 353 consid. 6.2 ; arrêts du Tribunal fédéral 2C_911/2013 du 26 août 2014 consid. 6.1.1 ; 2C_787/2012 du</w:t>
      </w:r>
    </w:p>
    <w:p>
      <w:r>
        <w:rPr>
          <w:b/>
        </w:rPr>
        <w:t>E. 15</w:t>
      </w:r>
    </w:p>
    <w:p>
      <w:r>
        <w:t>En dernier lieu, le recourant revendique l’application d’une déduction forfaitaire de 30% à la valorisation obtenue au motif que les produits de la SARL proviendraient exclusivement de sa participation minoritaire dans C______ LTD.</w:t>
      </w:r>
    </w:p>
    <w:p>
      <w:r>
        <w:rPr>
          <w:b/>
        </w:rPr>
        <w:t>E. 16</w:t>
      </w:r>
    </w:p>
    <w:p>
      <w:r>
        <w:t>La commentaire (p. 10) prévoit qu’aucune déduction forfaitaire supplémentaire ne peut être appliquée lorsqu’une pondération simple de la valeur de rendement et de la valeur de substance a déjà été appliquée.</w:t>
      </w:r>
    </w:p>
    <w:p>
      <w:r>
        <w:rPr>
          <w:b/>
        </w:rPr>
        <w:t>E. 17</w:t>
      </w:r>
    </w:p>
    <w:p>
      <w:r>
        <w:t>En l’espèce, dans la mesure où l’estimation de la SARL a été effectuée en pondérant une fois la valeur de rendement et une fois la valeur de substance, aucune déduction forfaitaire supplémentaire ne peut être accordée. Ce grief sera donc écarté.</w:t>
      </w:r>
    </w:p>
    <w:p>
      <w:r>
        <w:rPr>
          <w:b/>
        </w:rPr>
        <w:t>E. 18</w:t>
      </w:r>
    </w:p>
    <w:p>
      <w:r>
        <w:t>Entièrement mal fondé, le recours sera rejeté.</w:t>
      </w:r>
    </w:p>
    <w:p>
      <w:r>
        <w:rPr>
          <w:b/>
        </w:rPr>
        <w:t>E. 19</w:t>
      </w:r>
    </w:p>
    <w:p>
      <w:r>
        <w:t>En application des art. 52 al. 1 LPFisc, 87 al. 1 de la loi sur la procédure administrative du 12 septembre 1985 (LPA - E 5 10) et 1 et 2 du règlement sur les frais, émoluments et indemnités en procédure administrative du 30 juillet 1986 (RFPA - E 5 10.03), le recourant, qui succombe, est condamné au paiement d’un émolument s’élevant à CHF 700.- ; il est couvert par l’avance de frais versée à la suite du dépôt du recours.</w:t>
      </w:r>
    </w:p>
    <w:p>
      <w:r>
        <w:t>- 13/14 - A/2538/2023 Vu l’issue du litige, aucune indemnité de procédure ne sera allouée (art. 87 al. 2 LPA).</w:t>
      </w:r>
    </w:p>
    <w:p>
      <w:r>
        <w:t>- 14/14 - A/2538/2023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