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JTAPI/646/2025 vom 16. Juni 2025</w:t>
      </w:r>
    </w:p>
    <w:p>
      <w:r>
        <w:t>GE Cour de justice, 2025-06-16, FR</w:t>
      </w:r>
    </w:p>
    <w:p>
      <w:r>
        <w:rPr>
          <w:b/>
        </w:rPr>
        <w:t xml:space="preserve">Quelle: </w:t>
      </w:r>
      <w:r>
        <w:t>https://mcp.opencaselaw.ch/entscheid/ge_gerichte_JTAPI_646_2025</w:t>
      </w:r>
    </w:p>
    <w:p>
      <w:r>
        <w:t>FR: GE_GERICHTE JTAPI/646/2025 du 16 juin 2025</w:t>
      </w:r>
    </w:p>
    <w:p>
      <w:r>
        <w:t>IT: GE_GERICHTE JTAPI/646/2025 del 16 giugno 2025</w:t>
      </w:r>
    </w:p>
    <w:p>
      <w:pPr>
        <w:pStyle w:val="Heading2"/>
      </w:pPr>
      <w:r>
        <w:t>Erwägungen</w:t>
      </w:r>
    </w:p>
    <w:p>
      <w:r>
        <w:rPr>
          <w:b/>
        </w:rPr>
        <w:t>E. 9</w:t>
      </w:r>
    </w:p>
    <w:p>
      <w:r>
        <w:t>Par acte du 30 décembre 2024, les contribuables, sous la plume de Mme A______, ont interjeté recours devant le Tribunal administratif de première instance (ci-après : le tribunal) en concluant à l’annulation des bordereaux du 10 décembre précédent, sous suite de dépens. L’AFC-GE avait retenu qu’ils avaient commis des soustractions par négligence en ne déclarant pas leurs assurances-vie. Ce faisant, elle avait occulté les courriels envoyés par les gestionnaires de C______, desquels il ressortait que ces contrats étaient français et soumis à l’imposition en France. En toute bonne foi, ils ne les avaient pas mentionnés dans leurs déclarations fiscales. Ainsi, aucun comportement ou imprévoyance coupable ne pouvait leur être reprochée. Ils n’avaient pas agi contrairement à leurs obligations, sachant qu’ils seraient imposés plus lourdement en France lors du rachat de leurs assurances-vie et que de ce fait, ils n’avaient pas à les déclarer au fisc genevois. Enfin, il ne pouvait y avoir simultanément une taxation en Suisse et en France, en raison de l’interdiction de la double imposition.</w:t>
      </w:r>
    </w:p>
    <w:p>
      <w:r>
        <w:rPr>
          <w:b/>
        </w:rPr>
        <w:t>E. 10</w:t>
      </w:r>
    </w:p>
    <w:p>
      <w:r>
        <w:t>Dans sa réponse du 10 mars 2025, l’AFC-GE s’est engagée à annuler, à bien plaire, le bordereau d’ICC 2019, quoiqu’entré en force, dès lors que les conditions du rappel d’impôt n’étaient pas réunies. Elle a également accepté d’annuler l’amende pour cette même période fiscale, étant donné qu’une tentative de soustraction ne pouvait être commise par négligence. Pour le surplus, l’autorité intimée a conclu au rejet du recours. Les conditions d’une soustraction d’impôt étaient remplies. Notamment, les intéressés s’étaient laissés délibérément taxer sur une fortune imposable nettement inférieure à leur réelle capacité contributive. Ils n’avaient ainsi pas tout entrepris pour s’assurer que leurs taxations initiales fussent complètes et exactes. En fixant la quotité des amendes à 0.5 fois les impôts éludés, elle n’avait pas outrepassé son pouvoir d’appréciation. En effet, il existait une disproportion manifeste entre les taxations initiales et la fortune réelle des recourants.</w:t>
      </w:r>
    </w:p>
    <w:p>
      <w:r>
        <w:rPr>
          <w:b/>
        </w:rPr>
        <w:t>E. 11</w:t>
      </w:r>
    </w:p>
    <w:p>
      <w:r>
        <w:t>Par réplique du 2 avril 2025, les contribuables ont maintenu leur recours. Ils ne s’étaient pas laissés délibérément taxer sur une fortune insuffisante, mais s’étaient fiés aux affirmations des gestionnaires de C______.</w:t>
      </w:r>
    </w:p>
    <w:p>
      <w:r>
        <w:rPr>
          <w:b/>
        </w:rPr>
        <w:t>E. 12</w:t>
      </w:r>
    </w:p>
    <w:p>
      <w:r>
        <w:t>Dans sa duplique du 22 avril 2025, l’AFC-GE a persisté dans les termes et les conclusions de sa réponse. Les courriels produits par les recourants avaient été établis les 2 février et 19 novembre 2024, soit au cours de la procédure de contrôle. En outre, ces documents ne se prononçaient pas sur le traitement des assurances- vie en Suisse. EN DROIT</w:t>
      </w:r>
    </w:p>
    <w:p>
      <w:r>
        <w:t>- 4/7 - A/4302/2024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Dans sa réponse, l’AFC-GE s’est engagée à annuler le bordereau d’ICC 2019, ainsi que l’amende pour cette même période fiscale, étant donné qu’une tentative de soustraction ne peut être commise par négligence. Le tribunal lui en donnera acte. Le recours doit dès lors être admis sur ce point. 4. Les recourants concluent à l’annulation des bordereaux d’amende des années 2014 à 2018. 5. Le contribuable qui, intentionnellement ou par négligence, fait en sorte qu’une taxation ne soit pas effectuée alors qu’elle aurait dû l’être, ou qu’une taxation entrée en force soit incomplète est puni d’une amende (art. 175 al. 1 de la loi fédérale sur l’impôt fédéral direct du 14 décembre 1990 - LIFD - RS 642.11 ; art. 69 LPFisc). 6. Selon la jurisprudence (arrêt du Tribunal fédéral 9C_583/2023 du 12 août 2024 consid. 4.1 et les réf.), pour qu'il y ait soustraction d'impôt au sens de l'art. 175 al. 1 LIFD,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Les notions d'intention et de négligence de l'art. 175 LIFD sont identiques à celles de l'art. 12 al. 2 et 3 du Code pénal suisse du 21 décembre 1937 (CP - RS 311.0). Ainsi, agit intentionnellement quiconque commet un crime ou un délit avec conscience et volonté. L'auteur agit déjà intentionnellement lorsqu'il tient pour possible la réalisation de l'infraction et l'accepte au cas où celle-ci se produirait (art. 12 al. 2 CP). La preuve d'un comportement intentionnel de la part du contribuable est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w:t>
      </w:r>
    </w:p>
    <w:p>
      <w:r>
        <w:t>- 5/7 - A/4302/2024 entend sa formation, ses capacités intellectuelles et son expérience professionnelle (ibid.). Si le contribuable a des doutes sur ses droits ou obligations, il doit faire en sorte de lever ce doute ou, au moins, en informer l'autorité fiscale (ATF 135 II 86 consid. 4.3). 7. En l’espèce, les contribuables ne contestent pas la réalisation des éléments constitutifs objectifs de la soustraction. En revanche, ils nient avoir commis une faute par négligence, s'opposant à la thèse retenue par l’AFC-GE dans ses bordereaux d’amende du 10 décembre 2024. Ils se prévalent de deux courriels datés respectivement des 2 février et 19 novembre 2024 émanant de gestionnaires de C______, qui indiquent tous deux que leurs contrats d’assurances-vie sont des contrats français, soumis à imposition en France. Lors de leur rachat, un prélèvement forfaitaire obligatoire serait effectué et déduit du montant racheté. Contrairement à ce qu’ils soutiennent, les recourants ne sauraient justifier leurs déclarations fiscales incomplètes et exciper de leur bonne foi en se fondant sur ces courriels. En effet, ceux-ci ont été rédigés postérieurement au dépôt des déclarations fiscales des années litigieuses. Hormis ces documents, ils ne produisent aucune pièce contemporaine de ces années, dont il résulterait que la valeur de rachat en question n’avait pas besoin d’être déclarée. Au surplus, le fait que, par hypothèse, leurs assurances-vie soient soumises à imposition en France ne les dispensait pas de les annoncer à l’AFC-GE, la Suisse pouvant en tous les cas tenir compte d'éléments de revenu ou de fortune rattachés à la France pour la détermination du taux d’imposition (art. 25 let. B ch. 1 de la Convention du 9 septembre 1966 entre la Suisse et la France en vue d’éliminer les doubles impositions en matière d’impôts sur le revenu et sur la fortune et de prévenir la fraude et l’évasion fiscale (avec prot. add.) (CDI-F - RS 0.672.934.91). Par ailleurs, rien n'indique non plus de manière indubitable le risque d'une double imposition, ni le droit de l'Etat français d'imposer les assurances-vie en question, étant donné que les renseignements fournis à ce sujet par les recourants émanent d'une entreprise privée et non pas d'une autorité fiscale française. L’argumentation des recourants en lien avec la double imposition internationale tombe dès lors à faux. Enfin, on ne voit pas non plus pourquoi il faudrait retenir que les recourants auraient fait preuve d'une diligence suffisante en se fondant sur des renseignements fournis par une société commerciale étrangère, plutôt que sur ceux qu'ils auraient parfaitement pu prendre auprès des autorités du pays où ils étaient fiscalement assujettis. Il résulte de ce qui précède que c’est à bon droit que l’AFC-GE a retenu l’existence d’une faute commise par les contribuables, sous la forme d’une négligence. 8. En cas de soustraction d’impôt consommée, l’amende est, en règle générale, fixée au montant de l’impôt soustrait. Si la faute est légère, l’amende peut être réduite jusqu’au tiers de ce montant ; si la faute est grave, elle peut au plus être triplée</w:t>
      </w:r>
    </w:p>
    <w:p>
      <w:r>
        <w:t>- 6/7 - A/4302/2024 (art. 175 al. 2 LIFD ; art).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Il convient de réduire ce montant lorsque le contribuable a agi par négligence, celle-ci devant être considérée comme un cas de faute légère au sens de l'art. 175 LIFD (arrêt du Tribunal fédéral 2C_1007/2012 du</w:t>
      </w:r>
    </w:p>
    <w:p>
      <w:r>
        <w:rPr>
          <w:b/>
        </w:rPr>
        <w:t>E. 15</w:t>
      </w:r>
    </w:p>
    <w:p>
      <w:r>
        <w:t>mars 2013 consid. 5.2). La bonne collaboration du contribuable dans le cadre la procédure en soustraction d'impôt constitue en principe un élément permettant de réduire la peine (arrêt du Tribunal fédéral 2C_875/2018 du 17 avril 2019 consid. 8.2.2).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9. En l’espèce, dans sa décision sur réclamation, l’AFC-GE a réduit la quotité des amendes de 0.75 fois à 0.5 fois les droits soustraits. Il résulte des pièces du dossier que les recourants ont bien collaboré avec l’autorité intimée durant la procédure de soustraction d’impôt, puisqu’ils ont toujours donné suite à ses demandes de renseignements. Cette circonstance doit être prise en compte à leur avantage. En revanche, ils ont commis des soustractions de 2014 à 2018, soit durant cinq années fiscales, ce qui constitue une circonstance aggravante. En présence d’une circonstance atténuante et d’une circonstance aggravante, l’autorité intimée était fondée à s’écarter du minimum légal d’un tiers des impôts soustraits. La quotité arrêtée par l’AFC-GE sera ainsi confirmée. 10. Au vu de ce qui précède, le recours doit être admis partiellement, dans le sens du considérant 3 ci-dessus. 11. En application des art. 52 al. 1 LPFisc, 87 al. 1 de la loi sur la procédure administrative du 12 septembre 1985 (LPA - E 5 10) et 1 et 2 du règlement sur les frais, émoluments et indemnités en procédure administrative du 30 juillet 1986 (RFPA - E 5 10.03), les recourants, qui obtiennent partiellement gain de cause, sont condamnés au paiement d’un émolument réduit s’élevant à CHF 500.-. Il est couvert par l’avance de frais de CHF 700.- versée à la suite du dépôt du recours. Le solde de l’avance de frais de CHF 200.- leur sera restitué. Aucune indemnité de procédure ne leur sera allouée, puisqu’ils comparaissent en personne et qu’ils n’ont pas exposé avoir engagé de frais pour leur défense (art. 87 al. 2 LPA ; ATA/595/2020 du 16 juin 2020 consid. 12).</w:t>
      </w:r>
    </w:p>
    <w:p>
      <w:r>
        <w:t>- 7/7 - A/4302/2024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