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JTAPI/644/2021 vom 24. Juni 2021</w:t>
      </w:r>
    </w:p>
    <w:p>
      <w:r>
        <w:t>GE Cour de justice, 2021-06-24, FR</w:t>
      </w:r>
    </w:p>
    <w:p>
      <w:r>
        <w:rPr>
          <w:b/>
        </w:rPr>
        <w:t xml:space="preserve">Quelle: </w:t>
      </w:r>
      <w:r>
        <w:t>https://mcp.opencaselaw.ch/entscheid/ge_gerichte_JTAPI_644_2021</w:t>
      </w:r>
    </w:p>
    <w:p>
      <w:r>
        <w:t>FR: GE_GERICHTE JTAPI/644/2021 du 24 juin 2021</w:t>
      </w:r>
    </w:p>
    <w:p>
      <w:r>
        <w:t>IT: GE_GERICHTE JTAPI/644/2021 del 24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conclut à titre principal à ce que le tribunal constate la nullité de la décision entreprise.</w:t>
      </w:r>
    </w:p>
    <w:p>
      <w:r>
        <w:rPr>
          <w:b/>
        </w:rPr>
        <w:t>E. 4</w:t>
      </w:r>
    </w:p>
    <w:p>
      <w:r>
        <w:t>La nullité absolue d'une décision peut être invoquée en tout temps devant toute autorité et doit être constatée d'office. Elle ne frappe que les décisions affectées des vices les plus graves, manifestes ou particulièrement reconnaissables, et pour autant que la constatation de la nullité ne mette pas sérieusement en danger la sécurité du droit (ATF 139 II 243 consid. 11.2 ; 138 II 501 consid. 3.1 ; 138 III 49 consid. 4.4.3 ; 137 I 273 consid. 3.1).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 graves vices de procédure, ainsi que l'incompétence qualifiée de l'autorité qui a rendu la décision sont des motifs de nullité (ATF 137 I 273 consid. 3.1 ; 132 II 21 consid. 3.1).</w:t>
      </w:r>
    </w:p>
    <w:p>
      <w:r>
        <w:rPr>
          <w:b/>
        </w:rPr>
        <w:t>E. 5</w:t>
      </w:r>
    </w:p>
    <w:p>
      <w:r>
        <w:t>Est passible d'une amende administrative de CHF 100.- à CHF 150'000.- tout contrevenant aux règlements et arrêtés édictés conformément à l'art. 151 LCI, respectivement aux ordres donnés par le département dans les limites de la</w:t>
      </w:r>
    </w:p>
    <w:p>
      <w:r>
        <w:t>- 6/9 - A/3656/2020 présente loi et des règlements et arrêtés édictés en vertu de celle-ci (art. 137 al. 1 let. b et c LCI et art. 334 RChant).</w:t>
      </w:r>
    </w:p>
    <w:p>
      <w:r>
        <w:rPr>
          <w:b/>
        </w:rPr>
        <w:t>E. 6</w:t>
      </w:r>
    </w:p>
    <w:p>
      <w:r>
        <w:t>Il est tenu compte, dans la fixation du montant de l'amende, du degré de gravité de l'infraction (art. 137 al. 3 LCI). Constituent notamment des circonstances aggravantes la violation des prescriptions susmentionnées par cupidité et les cas de récidive (art. 137 al. 3 LCI).</w:t>
      </w:r>
    </w:p>
    <w:p>
      <w:r>
        <w:rPr>
          <w:b/>
        </w:rPr>
        <w:t>E. 7</w:t>
      </w:r>
    </w:p>
    <w:p>
      <w:r>
        <w:t>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w:t>
      </w:r>
    </w:p>
    <w:p>
      <w:r>
        <w:rPr>
          <w:b/>
        </w:rPr>
        <w:t>E. 8</w:t>
      </w:r>
    </w:p>
    <w:p>
      <w:r>
        <w:t>En l'espèce, l'amende litigieuse se fonde sur l'art. 137 LCI, de sorte qu'elle s'appuie sur une base légale. Elle s'appuie en outre sur le fait que la recourante n'a pas donné suite, dans le délai qui lui avait été imparti, à la décision de remise en état du 11 juin 2020. Par conséquent, on ne saurait voir de prime abord dans l'amende prononcée le 16 octobre 2020 une décision totalement arbitraire. En conséquence, il ne saurait être question d'en constater la nullité.</w:t>
      </w:r>
    </w:p>
    <w:p>
      <w:r>
        <w:rPr>
          <w:b/>
        </w:rPr>
        <w:t>E. 9</w:t>
      </w:r>
    </w:p>
    <w:p>
      <w:r>
        <w:t>À titre subsidiaire, la recourante conclut à l'annulation de cette amende.</w:t>
      </w:r>
    </w:p>
    <w:p>
      <w:r>
        <w:rPr>
          <w:b/>
        </w:rPr>
        <w:t>E. 10</w:t>
      </w:r>
    </w:p>
    <w:p>
      <w:r>
        <w:t>À cet égard, nonobstant l'argumentation soutenue par l'autorité intimée, le tribunal ne peut que constater que, compte tenu de l'ensemble des circonstances prévalant à l'époque, le délai accordé à la recourante le 11 juin 2020, pour des travaux d'une certaine ampleur, était extrêmement bref et qu'en réalité il ne pouvait être respecté. En soi, de tels travaux, qui entraînent facilement des coûts se montant au minimum à plusieurs dizaines de milliers de francs, ne se décident pas à la légère et nécessitent des délais relativement conséquents (étude et appel d'offres, devis, adjudication, fabrication puis pose). Il est extrêmement difficile de réaliser un tel programme en quatre mois. Cette difficulté s'accentue lorsque l'immeuble fait l'objet d'une protection patrimoniale et qu'il est nécessaire de soumettre le projet à un intervenant supplémentaire (comme en l'occurrence l'office du patrimoine et des sites - dont la recourante a démontré par pièces que le temps de réaction peut être de plusieurs semaines). À cela s'ajoute le fait que le délai fixé le 11 juin 2020 s'écoulait pour moitié durant les deux mois d'été, pendant lesquels il est notoire que les activités sont ralenties, en particulier dans le domaine du bâtiment. Enfin, bien que l'autorité intimée en minimise les effets, la crise sanitaire liée à la pandémie de la Covid-19 a sérieusement ébranlé le secteur économique, entraînant à partir du printemps 2020 des accumulations de retard sur les chaînes de commandes conduisant au client final. Dans toute l'Europe, de très nombreuses</w:t>
      </w:r>
    </w:p>
    <w:p>
      <w:r>
        <w:t>- 7/9 - A/3656/2020 entreprises, notamment dans le secteur industriel, ont très fortement diminué leurs activités durant plusieurs semaines, et la reprise de ces activités à partir de l'été 2020 s'est faite de manière progressive, avec la nécessité de rattraper les retards accumulés durant la première vague de la pandémie. L'argument de l'autorité intimé selon lequel la recourante aurait en réalité disposé de six mois, à partir du 20 mars 2020, pour exécuter les travaux litigieux, n'est pas convaincant. En effet, l'amende litigieuse ayant été prononcée en raison du non- respect d'un délai fixé dans la décision du 11 juin 2020, il n'est pas possible de soutenir que le délai en question avait démarré près de trois mois plus tôt sur la base de simples correspondances entre les parties. Le tribunal observera par ailleurs que l'autorité intimée semble elle-même consciente du problème que posait le délai fixé initialement au 30 septembre 2020, puisque, dans le cadre de la présente procédure, elle a consenti à repousser de plusieurs mois le nouveau délai qu'elle avait fixé dans sa décision litigieuse. Enfin, le fait que la recourante ne se soit manifestée auprès de l'autorité intimée que le 28 septembre 2020, deux jours avant l'échéance du délai fixé pour l'exécution des travaux, est sans incidence, puisque c'est la difficulté objective de respecter le délai fixé par la décision du 11 juin 2020 qui devait guider l'autorité intimée sur la question d'une éventuelle sanction, et non pas le fait que la recourante ait tardivement attiré son attention sur cette difficulté.</w:t>
      </w:r>
    </w:p>
    <w:p>
      <w:r>
        <w:rPr>
          <w:b/>
        </w:rPr>
        <w:t>E. 11</w:t>
      </w:r>
    </w:p>
    <w:p>
      <w:r>
        <w:t>Au vu de l'ensemble de ces circonstances, il apparaît que l'amende litigieuse est disproportionnée et qu'elle devra être annulée pour ce motif, indépendamment de son montant relativement modeste.</w:t>
      </w:r>
    </w:p>
    <w:p>
      <w:r>
        <w:rPr>
          <w:b/>
        </w:rPr>
        <w:t>E. 12</w:t>
      </w:r>
    </w:p>
    <w:p>
      <w:r>
        <w:t>Quant au délai de 30 jours fixé par la décision litigieuse pour exécuter les travaux, force est de constater qu'il est devenu sans objet par l'écoulement du temps, l'autorité intimée ayant de surcroît consenti à prolonger ce délai dans le cadre de la présente procédure.</w:t>
      </w:r>
    </w:p>
    <w:p>
      <w:r>
        <w:rPr>
          <w:b/>
        </w:rPr>
        <w:t>E. 13</w:t>
      </w:r>
    </w:p>
    <w:p>
      <w:r>
        <w:t>Il conviendra à cet égard de renvoyer le dossier à l'autorité intimée afin qu'elle fixe à la recourante un nouveau délai pour exécuter les travaux ordonnés dans la décision du 11 juin 2020. Une concertation préalable avec l'office du patrimoine et des sites, voire avec la recourante elle-même, dans la perspective d'une saine administration, pourrait permettre de fixer une échéance donnant satisfaction à toutes les parties.</w:t>
      </w:r>
    </w:p>
    <w:p>
      <w:r>
        <w:rPr>
          <w:b/>
        </w:rPr>
        <w:t>E. 14</w:t>
      </w:r>
    </w:p>
    <w:p>
      <w:r>
        <w:t>Bien fondé, le recours sera admis.</w:t>
      </w:r>
    </w:p>
    <w:p>
      <w:r>
        <w:rPr>
          <w:b/>
        </w:rPr>
        <w:t>E. 15</w:t>
      </w:r>
    </w:p>
    <w:p>
      <w:r>
        <w:t>Vu l'issue du litige, il ne sera pas perçu d'émolument.</w:t>
      </w:r>
    </w:p>
    <w:p>
      <w:r>
        <w:rPr>
          <w:b/>
        </w:rPr>
        <w:t>E. 16</w:t>
      </w:r>
    </w:p>
    <w:p>
      <w:r>
        <w:t>L'avance de frais de CHF 250.- sera restituée à la recourante.</w:t>
      </w:r>
    </w:p>
    <w:p>
      <w:r>
        <w:t>- 8/9 - A/3656/2020</w:t>
      </w:r>
    </w:p>
    <w:p>
      <w:r>
        <w:rPr>
          <w:b/>
        </w:rPr>
        <w:t>E. 17</w:t>
      </w:r>
    </w:p>
    <w:p>
      <w:r>
        <w:t>Vu l'issue du litige, une indemnité de procédure sera mise à la charge de l'État de Genève, soit pour lui le département du territoire, en faveur de A______ SA. Compte tenu, d'une part, de la disproportion entre les écritures de la recourante et la difficulté très modérée que présente l'objet du litige et, d'autre part, du fait que le mandataire de la recourante a agi par des écritures identiques en faveur d'une autre propriétaire à qui le tribunal donne également raison en lui allouant également une indemnité (procédure A/3640/2020), l'indemnité sera limitée à CHF 600.-, (art. 87 al. 2 à 4 LPA et 6 RFPA).</w:t>
      </w:r>
    </w:p>
    <w:p>
      <w:r>
        <w:t>- 9/9 - A/3656/2020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