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JTAPI/638/2025 vom 12. Juni 2025</w:t>
      </w:r>
    </w:p>
    <w:p>
      <w:r>
        <w:t>GE Cour de justice, 2025-06-12, FR</w:t>
      </w:r>
    </w:p>
    <w:p>
      <w:r>
        <w:rPr>
          <w:b/>
        </w:rPr>
        <w:t xml:space="preserve">Quelle: </w:t>
      </w:r>
      <w:r>
        <w:t>https://mcp.opencaselaw.ch/entscheid/ge_gerichte_JTAPI_638_2025</w:t>
      </w:r>
    </w:p>
    <w:p>
      <w:r>
        <w:t>FR: GE_GERICHTE JTAPI/638/2025 du 12 juin 2025</w:t>
      </w:r>
    </w:p>
    <w:p>
      <w:r>
        <w:t>IT: GE_GERICHTE JTAPI/638/2025 del 12 giugno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1.5</w:t>
      </w:r>
    </w:p>
    <w:p>
      <w:r>
        <w:t>; ATA/85/2022 du 1er février 2022 consid. 3a ; ATA/242/2020 du 3 mars 2020 consid. 2a). La contestation ne peut excéder l'objet de la décision attaquée, c'est-à-</w:t>
      </w:r>
    </w:p>
    <w:p>
      <w:r>
        <w:t>- 7/12 - A/364/2025 dire les prétentions ou les rapports juridiques sur lesquels l'autorité inférieure s'est prononcée ou aurait dû se prononcer.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4</w:t>
      </w:r>
    </w:p>
    <w:p>
      <w:r>
        <w:t>Dès qu'elle n'est plus susceptible d'un recours ordinaire - soit que le délai de recours est échu sans avoir été utilisé, soit que l'autorité de dernière instance s'est prononcée définitivement -, une décision bénéficie de la force de chose décidée, l'application du régime qu'elle établit étant - sous réserve des cas de nullité - censée conforme à l'ordre juridique, même si, en réalité, cette décision est viciée (cf. not. ATF 138 III 49 consid. 4.4.3 ; 130 II 249 consid. 2.4 ; arrêts du Tribunal fédéral 6B_20/2020 du</w:t>
      </w:r>
    </w:p>
    <w:p>
      <w:r>
        <w:rPr>
          <w:b/>
        </w:rPr>
        <w:t>E. 4.2</w:t>
      </w:r>
    </w:p>
    <w:p>
      <w:r>
        <w:t>; ATA/700/2014 précité consid. 4a ; ATA/141/2012 du 13 mars 2012 consid. 4 ; T. TANQUEREL, op. cit., p. 193 n. 568).</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6.1</w:t>
      </w:r>
    </w:p>
    <w:p>
      <w:r>
        <w:t>p. 637 et les arrêts cités ; arrêts du Tribunal fédéral 1C_151/2012 du 5 juillet 2012 consid. 4.2.1 et 2C_1023/2011 du 10 mai 2012 consid. 5).</w:t>
      </w:r>
    </w:p>
    <w:p>
      <w:r>
        <w:t>- 9/12 - A/364/2025</w:t>
      </w:r>
    </w:p>
    <w:p>
      <w:r>
        <w:rPr>
          <w:b/>
        </w:rPr>
        <w:t>E. 7</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2011, p. 179 n. 515).</w:t>
      </w:r>
    </w:p>
    <w:p>
      <w:r>
        <w:rPr>
          <w:b/>
        </w:rPr>
        <w:t>E. 8</w:t>
      </w:r>
    </w:p>
    <w:p>
      <w:r>
        <w:t>À titre préalable, le recourant sollicite son audition ainsi que celle de M. G______ et E______, sans toutefois véritablement motiver sa requête.</w:t>
      </w:r>
    </w:p>
    <w:p>
      <w:r>
        <w:rPr>
          <w:b/>
        </w:rPr>
        <w:t>E. 9</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w:t>
      </w:r>
    </w:p>
    <w:p>
      <w:r>
        <w:t>- 8/12 - A/364/2025 rendre (ATF 142 III 48 consid. 4.1.1 ; 140 I 285 consid. 6.3.1 ; arrêts du Tribunal fédéral 1B_539/2019 du 19 mars 2020 consid. 3.1 ; 2C_203/2019 du 4 juillet 2019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arrêts du Tribunal fédéral 2C_41/2020 du 24 juin 2020 consid. 5.1.1 ; 2C_203/2019 du 4 juillet 2019 consid. 2.1 ; ATA/631/2020 du 30 juin 2020 consid. 2 a et les arrêts cités). Le droit d'être entendu ne contient pas non plus d’obligation de discuter tous les griefs et moyens de preuve du recourant ; il suffit que le juge discute ceux qui sont pertinents pour l'issue du litige (ATF 141 III 28 consid. 3.2.4 ; arrêts du Tribunal fédéral 9C_245/2020 du 12 juin 2020 consid. 3.2.1 ; ATA/631/2020 du 30 juin 2020 consid. 2a).</w:t>
      </w:r>
    </w:p>
    <w:p>
      <w:r>
        <w:rPr>
          <w:b/>
        </w:rPr>
        <w:t>E. 10</w:t>
      </w:r>
    </w:p>
    <w:p>
      <w:r>
        <w:t>En l'espèce, le recourant a pu exposer ses arguments de façon détaillée dans son recours et produire toute pièces utiles. Le département s’est déterminé sur le recours et a transmis son dossier. Invité à répliquer, le recourant n’a pas donné suite. La procédure contient par ailleurs toutes les pièces utiles. Dès lors, l'acte d’instruction demandé n'apparait pas nécessaire à la solution du litige, comme cela ressort également des considérants qui suivent. Partant, il ne sera pas donné suite à la demande d’acte d’instruction formulée, en soit non obligatoire.</w:t>
      </w:r>
    </w:p>
    <w:p>
      <w:r>
        <w:rPr>
          <w:b/>
        </w:rPr>
        <w:t>E. 11</w:t>
      </w:r>
    </w:p>
    <w:p>
      <w:r>
        <w:t>Le recourant allègue que le département aurait commis un abus de droit et violé le principe de la bonne foi et son droit d’être entendu en rendant sa décision du ______ 2024, au vu de l’accord de médiation du ______ 2019 et l'absence de réponse de l'État à son courrier du 11 novembre 2024. Il ne conteste pas en tant que telle l’amende de CHF 5'000.- infligée par le département.</w:t>
      </w:r>
    </w:p>
    <w:p>
      <w:r>
        <w:rPr>
          <w:b/>
        </w:rPr>
        <w:t>E. 12</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consid. 2.2 ; 9C_115/2007 du 22 janvier 2008 consid.</w:t>
      </w:r>
    </w:p>
    <w:p>
      <w:r>
        <w:rPr>
          <w:b/>
        </w:rPr>
        <w:t>E. 13</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w:t>
      </w:r>
    </w:p>
    <w:p>
      <w:r>
        <w:rPr>
          <w:b/>
        </w:rPr>
        <w:t>E. 14</w:t>
      </w:r>
    </w:p>
    <w:p>
      <w:r>
        <w:t>L'abus de droit consiste notamment à utiliser une institution juridique à des fins étrangères au but même de la disposition légale qui la consacre, de telle sorte que l'écart entre le droit exercé et l'intérêt qu'il est censé protéger soit manifeste (ATF 138 III 401 consid. 2.2 ; 137 III 625 consid. 4.3 ; 135 III 162 consid. 3.3.1 ; 132 I 249 consid. 5 ; 129 III 493 consid. 5.1). Ce principe lie également les administrés. Ceux-ci ne doivent pas abuser d'une faculté que leur confère la loi en l'utilisant à des fins pour lesquelles elle n'a pas été prévue. Ce faisant, ils ne violent certes pas la loi, mais ils s'en servent pour atteindre un but qui n'est pas digne de protection (ATA/500/2011 du 27 juillet 2011 et les références citées).</w:t>
      </w:r>
    </w:p>
    <w:p>
      <w:r>
        <w:rPr>
          <w:b/>
        </w:rPr>
        <w:t>E. 15</w:t>
      </w:r>
    </w:p>
    <w:p>
      <w:r>
        <w:t>L’art. 137 al. 1 LCI prévoit qu’est passible d’une amende administrative de CHF 100.- à CHF 150'000.- tout contrevenant à la présente loi (let. a), aux règlements et arrêtés édictés en vertu de la présente loi (let. b), aux ordres donnés par le département dans les limites de la présente loi et des règlements et arrêtés édictés en vertu de celle-ci (let. c). Il est tenu compte, dans la fixation du montant de l’amende, du degré de gravité de l’infraction. Constituent notamment des circonstances aggravantes la violation de la loi par cupidité, les cas de récidive et l’établissement, par le mandataire professionnellement qualifié ou le requérant, d’une attestation au sens de l’art. 7 LCI non conforme à la réalité (art. 137 al. 3 LCI). La poursuite et la sanction administrative se prescrivent par sept ans (art. 137 al. 5 LCI).</w:t>
      </w:r>
    </w:p>
    <w:p>
      <w:r>
        <w:rPr>
          <w:b/>
        </w:rPr>
        <w:t>E. 16</w:t>
      </w:r>
    </w:p>
    <w:p>
      <w:r>
        <w:t>L’art. 137 al. 1 LCI érige la contravention aux ordres donnés par le département (let. c) en infraction distincte de la contravention à la LCI et à ses règlements d'application (let. a et b). De par sa nature, cette infraction est très proche de celle visée par l'art. 292 du Code pénal suisse du 21 décembre 1937 (CP – RS 311.0) (insoumission à une décision de l'autorité). À l'instar de cette disposition pénale, la condamnation de l'auteur pour infraction à l'art. 137 al. 1 let. a LCI n'a pas pour effet de le libérer du devoir de se soumettre à la décision de l'autorité. S'il persiste dans son action ou son omission coupables, il peut être condamné plusieurs fois pour infraction à l'art. 137 al. 1 let. c LCI, sans pouvoir invoquer le principe ne bis in idem, dès lors que l'on réprime à chaque fois une autre période d'action ou d'omission coupables (Bernard CORBOZ, Les infractions en droit suisse, 3ème éd., 2010, vol. 2, n. 32 ad art. 292 CP p. 551). De plus, la sanction de l'insoumission peut être augmentée chaque fois qu'une menace de l'appliquer est restée sans effet (Blaise KNAPP, Précis de droit administratif, 4ème éd., 1991, n. 1'721 et les références citées ; ATA/147/2014 du 11 mars 2014 consid. 11).</w:t>
      </w:r>
    </w:p>
    <w:p>
      <w:r>
        <w:rPr>
          <w:b/>
        </w:rPr>
        <w:t>E. 17</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(ATA/263/2016 du 22 mars 2016 ; ATA/163/2014 du 18 mars 2014 ;</w:t>
      </w:r>
    </w:p>
    <w:p>
      <w:r>
        <w:t>- 10/12 - A/364/2025 Pierre MOOR/Étienne POLTIER, Droit administratif : les actes administratifs et leur contrôle, vol. 2, 2011, p. 160 s. ch. 1.4.5.5).</w:t>
      </w:r>
    </w:p>
    <w:p>
      <w:r>
        <w:rPr>
          <w:b/>
        </w:rPr>
        <w:t>E. 18</w:t>
      </w:r>
    </w:p>
    <w:p>
      <w:r>
        <w:t>En vertu de l'art. 1 let. a de la loi pénale genevoise du 17 novembre 2006 (LPG - E 4 05), les dispositions de la partie générale du CP s'appliquent à titre de droit cantonal supplétif, sous réserve de celles qui concernent exclusivement le juge pénal (ATA/611/2016 du 12 juillet 2016 consid. 10c et les références citées). Il est ainsi nécessaire que le contrevenant ait commis une faute, fût-ce sous la forme d'une simple négligence (ATA/886/2014 du 11 novembre 2014 ; ATA/147/2014 du 11 mars 2014).</w:t>
      </w:r>
    </w:p>
    <w:p>
      <w:r>
        <w:rPr>
          <w:b/>
        </w:rPr>
        <w:t>E. 19</w:t>
      </w:r>
    </w:p>
    <w:p>
      <w:r>
        <w:t>Selon la jurisprudence constante, l'administration doit faire preuve de sévérité afin d'assurer le respect de la loi et jouit d'un large pouvoir d'appréciation pour infliger une amende, de sorte que le juge ne la censure qu'en cas d'excès (ATA/611/2016 précité ; ATA/824/2015 du 11 août 2015 ; ATA/147/2014 du 11 mars 2014).</w:t>
      </w:r>
    </w:p>
    <w:p>
      <w:r>
        <w:rPr>
          <w:b/>
        </w:rPr>
        <w:t>E. 20</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et son mode d'exécution, par les motivations et les buts de l'auteur et par la mesure dans laquelle celui-ci aurait pu éviter la mise en danger ou la lésion, compte tenu de sa situation personnelle et des circonstances extérieures (art. 47 al. 2 CP ; ATA/611/2016 précité consid. 10c et les références citées ; ATA/824/2015 du 11 août 2015 ; arrêt du Tribunal fédéral 6B_412/2014 du 27 janvier 2015 consid. 2.1 et les arrêts cités).</w:t>
      </w:r>
    </w:p>
    <w:p>
      <w:r>
        <w:rPr>
          <w:b/>
        </w:rPr>
        <w:t>E. 21</w:t>
      </w:r>
    </w:p>
    <w:p>
      <w:r>
        <w:t>L'amende doit faire l'objet d'une évaluation globale, dans laquelle l'autorité administrative qui sanctionne - partant le juge qui contrôle sa décision - doit prendre en compte, dans un calcul d'ensemble, la nature, la gravité et la fréquence des infractions (ATA/886/2014 du 11 novembre 2014 ; ATA/558/2013 du 27 août 2013 ; Günter STRATENWERTH, Schweizerisches Strafrecht - Allgemeiner Teil II : Strafen und Massnahmen, 2ème éd., 2006, p. 75 § 75 ; Sandro CHIMICHELLA, Die Geldstrafe in Schweizer Strafrecht, 2006, p. 39).</w:t>
      </w:r>
    </w:p>
    <w:p>
      <w:r>
        <w:rPr>
          <w:b/>
        </w:rPr>
        <w:t>E. 22</w:t>
      </w:r>
    </w:p>
    <w:p>
      <w:r>
        <w:t>Enfin, l'amende doit respecter le principe de la proportionnalité garanti par l'art. 5 al. 2 de la Constitution fédérale de la Confédération suisse du 18 avril 1999 (Cst. - RS 101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23</w:t>
      </w:r>
    </w:p>
    <w:p>
      <w:r>
        <w:t>En l'occurrence, le recourant ne conteste pas n’avoir pas respecté l’ordre du département du ______ 2022 et ses relances subséquentes, en ne fournissant pas le</w:t>
      </w:r>
    </w:p>
    <w:p>
      <w:r>
        <w:t>- 11/12 - A/364/2025 reportage photographique et l’attestation globale de conformité accompagnée des plans conformes à l’exécution, pour l’APA 6______, attestant de la bonne exécution de la totalité dudit ordre, dans le délai au 31 octobre 2024 imparti. Son comportement est en soi objectivement constitutif de l'infraction réprimée par l'art. 137 al. 1 let. c LCI et peut donc donner lieu au prononcé d'une amende. Il résulte en outre des différents évènements précités que c'est assurément avec conscience et volonté qu’il n'a pas obtempéré dans le délai aux ordres du département, alors même que la décision y relative était entrée en force. Le recourant se prévaut en vain de l’accord de médiation du ______ 2019 pour justifier son inaction. En effet, ainsi que l’a très justement relevé le département, cet accord ne concerne pas en tant que telle sa parcelle, se contentant d’envisager la cession d’une partie de celle-ci aux époux D______ et E______, si elle devait être mise en vente et pour autant que la FTI ou l'Etat l’acquière, ce qui ne s’est pas réalisé jusqu’alors et ne semble pas non plus être d’actualité. Dans ces conditions, le recourant en garde toujours la maîtrise (à tout le moins de fait) avec, notamment, les obligations en découlant en termes de respect des prescriptions du droit de la construction et de l’aménagement du territoire (perturbateur a minima par comportement), quand bien même il n’en est que nu-propriétaire. Dès lors, le département pouvait parfaitement exiger du recourant qu’il mette en œuvre complètement son ordre et lui apporte les preuves demandées. Il n’avait enfin pas à répondre à son courrier du 11 novembre 2024 qui ne lui était pas même adressé. Partant, l’amende litigieuse doit être confirmée dans son principe.</w:t>
      </w:r>
    </w:p>
    <w:p>
      <w:r>
        <w:t>S’agissant enfin de sa quotité, fixée à CHF 5'000.- et en soi pas contestée, le tribunal relève que le recourant a déjà été amendé à trois reprises pour ne pas s’être conformé à l’ordre du ______ 2022. Ces précédentes sanctions de CHF 500.-, 1'000.- et 1'500.- n’ont toutefois pas été en mesure de lui faire changer son comportement et se soumettre à la décision. C’est donc à juste titre que le département lui a infligé une amende supérieure à celle précédemment infligée, étant relevé que le montant fixé reste néanmoins tout à fait proportionné à la situation qui perdure depuis plus de trois ans à ce jour. Enfin, si le recourant indique certes être à l’assurance- invalidité, il ne démontre pas que le paiement de cette amende l’exposerait à des difficultés financières particulières.</w:t>
      </w:r>
    </w:p>
    <w:p>
      <w:r>
        <w:rPr>
          <w:b/>
        </w:rPr>
        <w:t>E. 24</w:t>
      </w:r>
    </w:p>
    <w:p>
      <w:r>
        <w:t>Au vu de ce qui précède, mal fondé, le recours sera rejeté.</w:t>
      </w:r>
    </w:p>
    <w:p>
      <w:r>
        <w:rPr>
          <w:b/>
        </w:rPr>
        <w:t>E. 25</w:t>
      </w:r>
    </w:p>
    <w:p>
      <w:r>
        <w:t>En application des art. 87 al. 1 LPA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Le solde de cette avance en CHF 200.- lui sera restitué.</w:t>
      </w:r>
    </w:p>
    <w:p>
      <w:r>
        <w:rPr>
          <w:b/>
        </w:rPr>
        <w:t>E. 26</w:t>
      </w:r>
    </w:p>
    <w:p>
      <w:r>
        <w:t>Vu l’issue du litige, aucune indemnité de procédure ne sera allouée (art. 87 al. 2 LPA).</w:t>
      </w:r>
    </w:p>
    <w:p>
      <w:r>
        <w:t>- 12/12 - A/364/2025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