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JTAPI/635/2024 vom 25. Juni 2024</w:t>
      </w:r>
    </w:p>
    <w:p>
      <w:r>
        <w:t>GE Cour de justice, 2024-06-25, FR</w:t>
      </w:r>
    </w:p>
    <w:p>
      <w:r>
        <w:rPr>
          <w:b/>
        </w:rPr>
        <w:t xml:space="preserve">Quelle: </w:t>
      </w:r>
      <w:r>
        <w:t>https://mcp.opencaselaw.ch/entscheid/ge_gerichte_JTAPI_635_2024</w:t>
      </w:r>
    </w:p>
    <w:p>
      <w:r>
        <w:t>FR: GE_GERICHTE JTAPI/635/2024 du 25 juin 2024</w:t>
      </w:r>
    </w:p>
    <w:p>
      <w:r>
        <w:t>IT: GE_GERICHTE JTAPI/635/2024 del 25 giugno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A_______ ayant concrètement débuté le 22 juin 2024 à 11h30, comme l’indique le procès-verbal d’audition (cf. à cet égard arrêts du Tribunal fédéral 2C_618/2011 du 1er septembre 2011 consid. 2 ; 2C_206/2009 du 29 avril 2009 consid. 5.1.1 et les références citées).</w:t>
      </w:r>
    </w:p>
    <w:p>
      <w:r>
        <w:rPr>
          <w:b/>
        </w:rPr>
        <w:t>E. 3.1</w:t>
      </w:r>
    </w:p>
    <w:p>
      <w:r>
        <w:t>; 2C_756/2009 du 15 décembre 2009 consid. 2.1).</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puisque celui-ci doit simplement être réadmis en France et qu'il s'est déclaré d'accord de retourner dans ce pays.</w:t>
      </w:r>
    </w:p>
    <w:p>
      <w:r>
        <w:t>- 4/8 - A/2087/2024 Par ailleurs, M. A_______ a donné par écrit son consentement à ce que le tribunal statue sur son sort sans l’entendre oralement. Le tribunal se prononce donc sur la base du dossier du commissaire de police et après avoir donné la possibilité à M. A_______,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A teneur de l'art. 76 al. 1 let. b ch. 1 LEI, en lien avec l'art. 75 al. 1 let. c LEI, lorsqu'une décision de renvoi de première instance a été notifiée, l'autorité compétente peut, afin d'en assurer l'exécution, mettre en détention la personne concernée lorsqu'elle franchit la frontière malgré une interdiction d'entrer en Suisse et ne peut pas être renvoyée immédiatement.</w:t>
      </w:r>
    </w:p>
    <w:p>
      <w:r>
        <w:rPr>
          <w:b/>
        </w:rPr>
        <w:t>E. 9</w:t>
      </w:r>
    </w:p>
    <w:p>
      <w:r>
        <w:t>Comme cela ressort du texte même de l'art. 76 al. 1 LEI et de la jurisprudence constante du Tribunal fédéral, la détention administrative n'implique pas que la décision de renvoi soit définitive et exécutoire (cf. not. ATF 130 II 377 consid. 1 ; 129 II 1 consid. 2 ; 122 II 148 consid. 1 ; 121 II 59 consid. 2a).</w:t>
      </w:r>
    </w:p>
    <w:p>
      <w:r>
        <w:rPr>
          <w:b/>
        </w:rPr>
        <w:t>E. 10</w:t>
      </w:r>
    </w:p>
    <w:p>
      <w:r>
        <w:t>Il découle de la jurisprudence qu'une décision d'expulsion pénale au sens des art. 66a ou 66abis CP vaut comme interdiction d'entrée pour la durée prononcée par le juge pénal (ATA/179/2018 du 27 février 2018 consid. 4).</w:t>
      </w:r>
    </w:p>
    <w:p>
      <w:r>
        <w:rPr>
          <w:b/>
        </w:rPr>
        <w:t>E. 11</w:t>
      </w:r>
    </w:p>
    <w:p>
      <w:r>
        <w:t>En l'occurrence, M. A_______ fait l'objet d'une mesure d'expulsion pénale prononcée le 6 septembre 2021 par la Chambre pénale pour une durée de huit ans, et qui continue donc à ce jour de déployer ses effets. En outre, expulsé à destination de l'Espagne le 16 septembre 2022, il est revenu en Suisse, où il a été arrêté le 21 juin 2024, au mépris de l'expulsion pénale susmentionnée, qui valait également interdiction d'entrée en Suisse selon la jurisprudence rappelée plus haut.</w:t>
      </w:r>
    </w:p>
    <w:p>
      <w:r>
        <w:rPr>
          <w:b/>
        </w:rPr>
        <w:t>E. 12</w:t>
      </w:r>
    </w:p>
    <w:p>
      <w:r>
        <w:t>Par conséquent, les conditions d'une détention administrative au sens des art. 75 al. 1 let. c et 76 al. 1 let. b ch. 1 LEI sont réalisées, de sorte que cette dernière apparaît valable dans son principe.</w:t>
      </w:r>
    </w:p>
    <w:p>
      <w:r>
        <w:t>- 5/8 - A/2087/2024</w:t>
      </w:r>
    </w:p>
    <w:p>
      <w:r>
        <w:rPr>
          <w:b/>
        </w:rPr>
        <w:t>E. 13</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14</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15</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16</w:t>
      </w:r>
    </w:p>
    <w:p>
      <w:r>
        <w:t>En l'occurrence, M. A_______ a déjà à une occasion démontré qu'il ne faisait aucun cas de l'expulsion pénale prononcée contre lui, puisqu'il est revenu en Suisse au mépris de cette mesure après en avoir été expulsé le 16 septembre 2022. Il y a donc tout lieu de craindre qu'au cas où il serait remis en liberté avec l'obligation de se soumettre à nouveau à l'exécution de son expulsion le moment venu, il se soustrairait à ce dernier. Par conséquent, sa détention administrative apparaît comme la seule mesure apte à permettre l'exécution de son expulsion. L’assurance de son départ de Suisse répond par ailleurs à un intérêt public certain, compte tenu de ses antécédents pénaux.</w:t>
      </w:r>
    </w:p>
    <w:p>
      <w:r>
        <w:t>- 6/8 - A/2087/2024</w:t>
      </w:r>
    </w:p>
    <w:p>
      <w:r>
        <w:rPr>
          <w:b/>
        </w:rPr>
        <w:t>E. 17</w:t>
      </w:r>
    </w:p>
    <w:p>
      <w:r>
        <w:t>Par ailleurs, l'autorité chargée du renvoi a agi avec diligence et célérité, dès lors qu'elle a immédiatement appelé les autorités françaises en vue de la réadmission de M. A_______ dans ce pays.</w:t>
      </w:r>
    </w:p>
    <w:p>
      <w:r>
        <w:rPr>
          <w:b/>
        </w:rPr>
        <w:t>E. 18</w:t>
      </w:r>
    </w:p>
    <w:p>
      <w:r>
        <w:t>S'agissant du fait que M. A_______ serait marié et père de trois enfants et qu'il vivrait en famille en France où il disposerait d'une autorisation de séjour en cours de renouvellement, ces éléments ne sont pas de nature à remettre en question la proportionnalité de sa détention, nonobstant le point de vue qu'il défend. En effet, l'Accord conclu le 28 octobre 1998 entre le Conseil fédéral suisse et le Gouvernement de la République française relatif à la réadmission des personnes en situation irrégulière (ci-après : l'Accord – RS 0.142.113.499) prévoit que le retour sur le territoire de l'une des deux parties contractantes d'un ressortissant d'un État tiers implique une requête de réadmission (art. 6 par. 2), en l'occurrence de la part de la Suisse à l'égard des autorités françaises. Même si cette disposition prévoit que la partie contractante requise (en l'occurrence la France) doit réadmettre sans formalité la personne concernée, il n'en demeure pas moins que les autorités suisses se doivent de respecter cette procédure à l'égard des autorités françaises. Les mêmes obligations existent au demeurant vis-à-vis des autorités espagnoles, en application de l'Accord conclu 17 novembre 2003 entre la Confédération suisse et le Royaume d’Espagne relatif à la réadmission des personnes en situation irrégulière (RS 0.142.113.329). Par conséquent, en application de ces accords, la possibilité pour M. A_______ de retourner à son gré soit en France soit en Espagne ne peut être considérée par les autorités suisses comme relevant de sa liberté personnelle et de son libre arbitre et dépend en réalité d'une procédure établie au niveau international. Le comportement passé de M. A_______, qui est revenu en Suisse malgré une expulsion pénale en cours de validité, ne permet pas non plus de considérer qu'il se soumettrait à son obligation d'attendre en Suisse que les autorités françaises ou espagnoles admettent sa réadmission.</w:t>
      </w:r>
    </w:p>
    <w:p>
      <w:r>
        <w:rPr>
          <w:b/>
        </w:rPr>
        <w:t>E. 19</w:t>
      </w:r>
    </w:p>
    <w:p>
      <w:r>
        <w:t>Enfin, prononcée pour une durée d'un mois, la détention administrative de Monsieur aisé n'apparaît pas manifestement disproportionnée, quand bien même il y a lieu de penser que son renvoi à destination de la France pourrait intervenir à relativement brève échéance</w:t>
      </w:r>
    </w:p>
    <w:p>
      <w:r>
        <w:rPr>
          <w:b/>
        </w:rPr>
        <w:t>E. 20</w:t>
      </w:r>
    </w:p>
    <w:p>
      <w:r>
        <w:t>En l'espèce, eu égard à l'ensemble des circonstances, il y a lieu de confirmer l'ordre de mise en détention administrative pour une durée d’un mois.</w:t>
      </w:r>
    </w:p>
    <w:p>
      <w:r>
        <w:rPr>
          <w:b/>
        </w:rPr>
        <w:t>E. 21</w:t>
      </w:r>
    </w:p>
    <w:p>
      <w:r>
        <w:t>Cela étant, il sera souligné que si le renvoi n'a pas eu lieu dans le délai de huit jours suivant l'ordre de détention, M. A_______ sera entendu par le tribunal au plus tard douze jours après l'ordre de détention (art. 80 al. 3 LEI). Dans cette perspective, il appartiendra au commissaire de police de faire savoir au tribunal, le 30 juin 2024 au plus tard, si l'exécution du renvoi s'est concrétisée ou non.</w:t>
      </w:r>
    </w:p>
    <w:p>
      <w:r>
        <w:rPr>
          <w:b/>
        </w:rPr>
        <w:t>E. 22</w:t>
      </w:r>
    </w:p>
    <w:p>
      <w:r>
        <w:t>Conformément à l'art. 9 al. 6 LaLEtr, le présent jugement sera communiqué à M. A_______, à son avocat et au commissaire de police. En vertu des art. 89 al. 2 et 111 al. 2 de la loi sur le Tribunal fédéral du 17 juin 2005 (LTF - RS 173.110), il sera en outre communiqué au secrétariat d'État aux migrations.</w:t>
      </w:r>
    </w:p>
    <w:p>
      <w:r>
        <w:t>- 7/8 - A/2087/2024</w:t>
      </w:r>
    </w:p>
    <w:p>
      <w:r>
        <w:t>- 8/8 - A/2087/2024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