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JTAPI/634/2022 vom 15. Juni 2022</w:t>
      </w:r>
    </w:p>
    <w:p>
      <w:r>
        <w:t>GE Cour de justice, 2022-06-15, FR</w:t>
      </w:r>
    </w:p>
    <w:p>
      <w:r>
        <w:rPr>
          <w:b/>
        </w:rPr>
        <w:t xml:space="preserve">Quelle: </w:t>
      </w:r>
      <w:r>
        <w:t>https://mcp.opencaselaw.ch/entscheid/ge_gerichte_JTAPI_634_2022</w:t>
      </w:r>
    </w:p>
    <w:p>
      <w:r>
        <w:t>FR: GE_GERICHTE JTAPI/634/2022 du 15 juin 2022</w:t>
      </w:r>
    </w:p>
    <w:p>
      <w:r>
        <w:t>IT: GE_GERICHTE JTAPI/634/2022 del 15 giugno 2022</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7 juin 2022, le tribunal a été valablement saisi, dans le délai légal précité, d'une requête de l'OCPM tendant à la prolongation de la détention administrative de M. A______ pour une durée de six semaines.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6</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w:t>
      </w:r>
    </w:p>
    <w:p>
      <w:r>
        <w:t>- 6/8 - A/1849/2022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2C_170/2020 du 17 août 2020 consid. 3 ;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7</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8</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10</w:t>
      </w:r>
    </w:p>
    <w:p>
      <w:r>
        <w:t>La légalité de la détention administrative de M. A______ a été examinée et admise par le tribunal dans son jugement du 27 mai 2022, de sorte qu'en l'absence</w:t>
      </w:r>
    </w:p>
    <w:p>
      <w:r>
        <w:t>- 7/8 - A/1849/2022 de changement de circonstances sur des aspects pertinents de cette détention, celle-ci ne peut à nouveau qu'être confirmée dans son principe. L’intéressé fait l’objet d’une mesure d’expulsion prononcée par la chambre pénale d’appel et de révision le 28 janvier 2021 pour une durée de cinq ans. A teneur du dossier, il n’a pas respecté cette mesure ni entrepris la moindre démarche en ce sens, persistant à dire, et encore lors de l’audience du 14 juin 2022, qu’il refuse de quitter la Suisse pour retourner en Albanie et qu’il ne montra pas dans l’avion le</w:t>
      </w:r>
    </w:p>
    <w:p>
      <w:r>
        <w:rPr>
          <w:b/>
        </w:rPr>
        <w:t>E. 12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- 8/8 - A/1849/2022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