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JTAPI/626/2024 vom 25. Juni 2024</w:t>
      </w:r>
    </w:p>
    <w:p>
      <w:r>
        <w:t>GE Cour de justice, 2024-06-25, FR</w:t>
      </w:r>
    </w:p>
    <w:p>
      <w:r>
        <w:rPr>
          <w:b/>
        </w:rPr>
        <w:t xml:space="preserve">Quelle: </w:t>
      </w:r>
      <w:r>
        <w:t>https://mcp.opencaselaw.ch/entscheid/ge_gerichte_JTAPI_626_2024</w:t>
      </w:r>
    </w:p>
    <w:p>
      <w:r>
        <w:t>FR: GE_GERICHTE JTAPI/626/2024 du 25 juin 2024</w:t>
      </w:r>
    </w:p>
    <w:p>
      <w:r>
        <w:t>IT: GE_GERICHTE JTAPI/626/2024 del 25 giugno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mars 2024, d'entrer en matière sur la requête que lui ont présentée les recourants le 27 septembre 2023 en vue de reconsidérer la décision du 16 janvier 2020. Il convient donc d'examiner si c'est à juste titre que la décision litigieuse prononce ce refus d'entrer en matière.</w:t>
      </w:r>
    </w:p>
    <w:p>
      <w:r>
        <w:rPr>
          <w:b/>
        </w:rPr>
        <w:t>E. 6</w:t>
      </w:r>
    </w:p>
    <w:p>
      <w:r>
        <w:t>Selon l'art. 48 al. 1 LPA, les demandes en reconsidération de décisions prises par les autorités administratives sont recevables lorsque (let. a) un motif de révision au</w:t>
      </w:r>
    </w:p>
    <w:p>
      <w:r>
        <w:t>- 10/14 - A/1187/2024 sens de l’art. 80, let. a et b, existe ou (let. b) les circonstances se sont modifiées dans une mesure notable depuis la première décision. Selon l'art. 80 LPA, il y a lieu à révision lorsque, dans une affaire réglée par une décision définitive, il apparaît (let. a) qu’un crime ou un délit, établi par une procédure pénale ou d’une autre manière, a influencé la décision ou (let. b) que des faits ou des moyens de preuve nouveaux et importants existent, que le recourant ne pouvait connaître ou invoquer dans la procédure précédente.</w:t>
      </w:r>
    </w:p>
    <w:p>
      <w:r>
        <w:rPr>
          <w:b/>
        </w:rPr>
        <w:t>E. 7</w:t>
      </w:r>
    </w:p>
    <w:p>
      <w:r>
        <w:t>En vertu de l’art. 48 al. 1 let. b LPA, dont l’application est seule envisageable en l’espèce, il faut que la situation du destinataire de la décision se soit notablement modifiée depuis la première décision. Il faut entendre par là des « faits nouveaux nouveaux » (vrais nova),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(ATA/1239/2020 du 8 décembre 2020 consid. 3b ; ATA/539/2020 du 29 mai 2020 consid. 4b ; ATA/1244/2019 du 13 août 2019 consid. 5 ; ATA/159/2018 du 20 février 2018 consid. 3a).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De plus,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(ATA/291/2017 du 14 mars 2017 consid. 4).</w:t>
      </w:r>
    </w:p>
    <w:p>
      <w:r>
        <w:rPr>
          <w:b/>
        </w:rPr>
        <w:t>E. 7.2</w:t>
      </w:r>
    </w:p>
    <w:p>
      <w:r>
        <w:t>; 2C_883/2018 du 21 mars 2019 consid. 4.4 ; 2C_556/2018 du 14 novembre 2018 consid. 3 ; 2C_198/2018 du 25 juin 2018 consid. 3.3).</w:t>
      </w:r>
    </w:p>
    <w:p>
      <w:r>
        <w:rPr>
          <w:b/>
        </w:rPr>
        <w:t>E. 8</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 2C_349/2012 du 18 mars 2013 consid. 5.1 ; ATA/1239/2020 du 8 décembre 2020 consid. 3d). Ainsi, dans la mesure où la décision attaquée ne porte que sur la question de la recevabilité de la demande de réexamen, le recourant ne peut que contester le refus d'entrer en matière que l'autorité intimée lui a opposé, mais non invoquer le fond, à</w:t>
      </w:r>
    </w:p>
    <w:p>
      <w:r>
        <w:t>- 11/14 - A/1187/2024 savoir l'existence des conditions justifiant l'octroi d'une autorisation de séjour, des conclusions prises à cet égard n'étant pas recevables (cf. ATF 126 II 377 consid. 8d ; arrêts du Tribunal fédéral 2C_115/2016 du 31 mars 2016 consid. 5 ; 2C_172/2013 du 21 juin 2013 consid. 1.4 ; 2C_504/2013 du 5 juin 2013 consid. 3). Si la juridiction de recours retient la survenance d'une modification des circonstances, elle doit renvoyer le dossier à l'autorité intimée, afin que celle-ci le reconsidère (cf. Jacques DUBEY/Jean-Baptiste ZUFFEREY, Droit administratif général, 2014, n. 2148), ce qui n'impliquera pas nécessairement que la décision d'origine sera modifiée (cf. Thierry TANQUEREL, op. cit., 2018, n. 1429 p. 493). Ainsi,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arrêts du Tribunal fédéral 2C_203/2020 du 8 mai 2020 consid. 4.3 ; 2C_176/2019 du 31 juillet 2019 consid.</w:t>
      </w:r>
    </w:p>
    <w:p>
      <w:r>
        <w:rPr>
          <w:b/>
        </w:rPr>
        <w:t>E. 9</w:t>
      </w:r>
    </w:p>
    <w:p>
      <w:r>
        <w:t>Selon la jurisprudence rendue en matière de police des étrangers, le simple écoulement du temps entre les décisions des autorités ne constitue pas un motif justifiant une reconsidération (arrêts du Tribunal fédéral 2C_38/2008 du 2 mai 2008 consid. 3.4 ; 2A.180/2000 du 14 août 2000 consid. 4c ; cf. aussi arrêt 2A.271/2004 du 7 octobre 2004 consid. 5 et 6; arrêts du Tribunal administratif fédéral C- 1545/2008 du 8 juillet 2008 consid. 5 ; C-7483/2006 du 19 juin 2007 consid. 6 ; C- 1798/2006 du 15 juin 2007 consid. 6 ; C-273/2006 du 25 avril 2007 consid. 5.3). Autrement dit, on ne saurait voir dans le simple écoulement du temps et dans une évolution normale de l’intégration en Suisse une modification des circonstances susceptibles d’entraîner une reconsidération de la décision incriminée (cf. not. arrêts du Tribunal administratif fédéral F-5003/2019 du 6 avril 2020 consid. 4.3 ; F-2581/2017 du 3 septembre 2018 consid. 3.4 ; F-2638/2017 du 9 novembre 2017 consid. 5.3). Le fait d'invoquer des faits nouveaux résultant pour l'essentiel de l'écoulement du temps, que le recourant a largement favorisé, peut d'ailleurs être reconnu comme un procédé dilatoire (cf. arrêt du Tribunal fédéral 2A.271/2004 du 7 octobre 2004 consid. 3.3).</w:t>
      </w:r>
    </w:p>
    <w:p>
      <w:r>
        <w:rPr>
          <w:b/>
        </w:rPr>
        <w:t>E. 10</w:t>
      </w:r>
    </w:p>
    <w:p>
      <w:r>
        <w:t>Ainsi, bien que l'écoulement du temps et la poursuite d'une intégration socio- professionnelle constituent des modifications des circonstances, ces éléments ne peuvent pas être qualifiés de notables au sens de l'art. 48 al. 1 let. b LPA, lorsqu'ils</w:t>
      </w:r>
    </w:p>
    <w:p>
      <w:r>
        <w:t>- 12/14 - A/1187/2024 résultent uniquement du fait que l'étranger ne s'est pas conformé à une décision initiale malgré son entrée en force (ATA/1239/2020 du 8 décembre 2020 consid. 3b ; ATA/539/2020 précité consid. 4b ; ATA/1244/2019 13 août 2019 consid. 5b).</w:t>
      </w:r>
    </w:p>
    <w:p>
      <w:r>
        <w:rPr>
          <w:b/>
        </w:rPr>
        <w:t>E. 11</w:t>
      </w:r>
    </w:p>
    <w:p>
      <w:r>
        <w:t>En l'espèce, s'agissant des nouvelles circonstances qui seraient intervenues depuis la décision du 16 janvier 2020, les recourants invoquent l’amélioration de leur situation financière, notamment en lien avec les dettes du recourant, leurs efforts d’intégration et l’enracinement de leurs enfants en Suisse. Concernant la situation socio-professionnelle des recourants, force est de constater que la modification des circonstances depuis la décision du 16 janvier 2020 n'est due qu'à leur obstination à demeurer en Suisse malgré la décision de renvoi devenue exécutoire après avoir été confirmée tant par le tribunal que par la chambre administrative. Le tribunal relèvera également que le recourant, bien qu’indiquant avoir entrepris, par l’intermédiaire d’un avocat vaudois, des démarches en vue d’assainir sa situation financière, n’y est à ce jour par parvenu ; en effet, lesdites démarches n’ont consisté, selon les pièces versées au dossier qu’à entamer des discussions avec les créanciers et n’ont abouti à aucun résultat concret à ce jour. Les arguments des recourants relatifs au respect de l’intérêt de leurs enfants mineurs tombent à faux dès lors qu’ils reposent sur des éléments qui sont uniquement dus à l’écoulement du temps et au non-respect de la décision prononcée à leur encontre le 16 janvier 2020 par l’OCPM. En effet, il est patent que la durée de leur séjour ainsi que celle de leur scolarisation en Suisse, tout comme leur intégration dans ce pays, a évolué au fil des ans et leur a permis, notamment, de tisser des liens et de s’inscrire à diverses activités extra-scolaires. Cependant, cette évolution ne leur est d’aucun secours, dès lors qu’elle est uniquement due au non-respect des décisions rendues à leur encontre par les autorités suisses, étant rappelé que la situation ne saurait être jugée par les autorités à l'aune du fait accompli, ce qui, de plus, reviendrait à défavoriser les personnes qui agissent conformément au droit (cf. ATF 129 II 249 consid. 2.3 ; arrêts du Tribunal fédéral 2C_1025/2017 du 22 mai 2018 consid. 6 ; 2C_473/2017 du 2 novembre 2017 consid. 3). Au vu de ce qui précède, c’est à bon droit que l’autorité intimée a retenu que les circonstances ne s’étaient pas modifiées dans une mesure notable depuis la première décision rendue par ses soins. Il en résulte que, sauf à aboutir à un résultat qu'il s'agit d'éviter, à savoir permettre à un justiciable de remettre sans cesse en cause une décision entrée en force, en particulier pour des motifs qu'il a déjà fait valoir précédemment, l’autorité intimée était fondée à refuser d’entrer en matière sur la demande de reconsidération formée par les recourants en leur faveur et celle de leurs enfants mineurs.</w:t>
      </w:r>
    </w:p>
    <w:p>
      <w:r>
        <w:rPr>
          <w:b/>
        </w:rPr>
        <w:t>E. 12</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700.- ; il est couvert par</w:t>
      </w:r>
    </w:p>
    <w:p>
      <w:r>
        <w:t>- 13/14 - A/1187/2024 l’avance de frais versée à la suite du dépôt du recours. Vu l’issue du litige, aucune indemnité de procédure ne sera allouée (art. 87 al. 2 LPA).</w:t>
      </w:r>
    </w:p>
    <w:p>
      <w:r>
        <w:rPr>
          <w:b/>
        </w:rPr>
        <w:t>E. 13</w:t>
      </w:r>
    </w:p>
    <w:p>
      <w:r>
        <w:t>En vertu des art. 89 al. 2 et 111 al. 2 de la loi sur le Tribunal fédéral du 17 juin 2005 (LTF - RS 173.110), le présent jugement sera communiqué au secrétariat d'État aux migrations.</w:t>
      </w:r>
    </w:p>
    <w:p>
      <w:r>
        <w:t>- 14/14 - A/1187/2024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