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JTAPI/626/2021 vom 21. Juni 2021</w:t>
      </w:r>
    </w:p>
    <w:p>
      <w:r>
        <w:t>GE Cour de justice, 2021-06-21, FR</w:t>
      </w:r>
    </w:p>
    <w:p>
      <w:r>
        <w:rPr>
          <w:b/>
        </w:rPr>
        <w:t xml:space="preserve">Quelle: </w:t>
      </w:r>
      <w:r>
        <w:t>https://mcp.opencaselaw.ch/entscheid/ge_gerichte_JTAPI_626_2021</w:t>
      </w:r>
    </w:p>
    <w:p>
      <w:r>
        <w:t>FR: GE_GERICHTE JTAPI/626/2021 du 21 juin 2021</w:t>
      </w:r>
    </w:p>
    <w:p>
      <w:r>
        <w:t>IT: GE_GERICHTE JTAPI/626/2021 del 21 giugno 2021</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sous l’angle des art. 49 LPFisc et 140 LIFD.</w:t>
      </w:r>
    </w:p>
    <w:p>
      <w:r>
        <w:rPr>
          <w:b/>
        </w:rPr>
        <w:t>E. 3</w:t>
      </w:r>
    </w:p>
    <w:p>
      <w:r>
        <w:t>A titre liminaire, il y a lieu de constater que les décisions entreprises constituent des décisions sur reconsidération (dans la mesure où, les 16 et 30 septembre 2019, l'AFC-GE avait déjà statué sur les réclamations que la recourante avait formulé les 11 mars et 17 avril 2019), qui auraient préalablement dû faire l'objet d'une réclamation, relevant de la compétence de l’autorité intimée (cf. art. 57 al. 4 LPFisc cum art. 39 ; art. 149 al. 4 LIFD cum art. 133 al. 1 LIFD). Déposé auprès du tribunal avant que l'autorité compétente ait statué sur réclamation, le recours est ainsi prématuré, de sorte qu'il devrait être déclaré irrecevable (cf. not. ATA/382/2016 du 3 mai 2016 ; ATA/1341/2015 du 15 décembre 2015) et la cause renvoyée à l'AFC-GE pour raison de compétence (cf. art. 11 al. 3 LPA cum art. 2 al. 2 LPFisc). Cela étant, dès lors que, dans sa réponse, l'AFC-GE a exposé les motifs pour lesquels elle aurait rejeté cette réclamation et que la recourante, à qui l'occasion de répliquer a été dûment donnée, a pu se déterminer à leur égard, un tel renvoi constituerait une vaine formalité et aboutirait à un allongement inutile de la procédure, ce qui serait incompatible avec l'intérêt de la partie concernée à ce que sa cause soit tranchée dans un délai raisonnable (cf. ATF 145 I 167 consid. 4.4 et 142 II 218 consid. 2.8.1, par analogie), étant par ailleurs observé que, selon les art. 39 al. 3 LPFisc et 132 al. 2 LIFD, la réclamation déposée contre une décision de taxation déjà motivée peut être considérée comme un recours et transmise au tribunal, si le contribuable y consent, ce qui paraît être le cas en l'occurrence. Il convient donc d'entrer en matière sur le recours.</w:t>
      </w:r>
    </w:p>
    <w:p>
      <w:r>
        <w:rPr>
          <w:b/>
        </w:rPr>
        <w:t>E. 4</w:t>
      </w:r>
    </w:p>
    <w:p>
      <w:r>
        <w:t>Aux termes des art. 21 al. 1 let. b LIFD et 24 al. 1 let b de la loi sur l'imposition des personnes physiques du 27 septembre 2009 (LIPP - D 3 08), est imposable, à titre de revenu, la valeur locative des immeubles ou de parties d'immeubles dont le</w:t>
      </w:r>
    </w:p>
    <w:p>
      <w:r>
        <w:t>- 6/10 - A/3212/2020 contribuable se réserve l'usage en raison de son droit de propriété ou d'un droit de jouissance obtenu à titre gratuit.</w:t>
      </w:r>
    </w:p>
    <w:p>
      <w:r>
        <w:rPr>
          <w:b/>
        </w:rPr>
        <w:t>E. 5</w:t>
      </w:r>
    </w:p>
    <w:p>
      <w:r>
        <w:t>La fortune nette est imposable auprès du propriétaire ou de la personne pouvant disposer économiquement du bien en question (art. 46. LIPP). Les éléments de fortune soumis à usufruit sont imposables auprès de l'usufruitier (art. 48 LIPP).</w:t>
      </w:r>
    </w:p>
    <w:p>
      <w:r>
        <w:rPr>
          <w:b/>
        </w:rPr>
        <w:t>E. 6</w:t>
      </w:r>
    </w:p>
    <w:p>
      <w:r>
        <w:t>Selon l'art. 776 du Code civil suisse du 10 décembre 1907 (CC - RS 210), le droit d'habitation est le droit de demeurer dans une maison ou d'en occuper une partie (al. 1). Les règles de l'usufruit sont applicables, sauf disposition contraire de la loi (al. 3). L'art. 765 al. 1 CC prévoit que l'usufruitier supporte les frais ordinaires d'entretien et les dépenses d'exploitation de la chose, ainsi que les intérêts des dettes dont elle est grevée, et qu'il est tenu d'acquitter les impôts et autres redevances, le tout en proportion de la durée de son droit. En matière fiscale, une partie de la doctrine considère que le bénéficiaire d'un droit d'habitation est imposable de la même manière que l'usufruitier. Ce traitement identique se justifie, selon elle, par le fait qu'un droit réel d'habitation confère à son titulaire un droit d'usage illimité sur l'immeuble grevé, qui équivaut dans ses effets à celui d'un propriétaire. Le bénéficiaire du droit d'habitation est dès lors imposable sur la valeur vénale du logement concerné. En revanche, d'autres auteurs font prévaloir la double restriction matérielle du droit d'habitation par rapport à l'usufruit, à savoir qu'il ne permet que d'habiter l'immeuble grevé et que son exercice ne peut être transféré à des tiers. Ils refusent ainsi en général de traiter fiscalement de la même manière l'usufruit et le droit d'habitation (cf. ATA/65/2020 du 21 janvier 2020 consid. 3c et les auteurs cités, étant précisé que par arrêt 2C_195/2020 du 18 mars 2021, le Tribunal fédéral a déclaré irrecevable le recours déposé auprès de lui contre cet arrêt). Le tribunal a eu l'occasion de juger qu'une part de copropriété grevée d'un droit d'habitation ne doit pas être taxée auprès de son propriétaire, au titre de la fortune, mais du bénéficiaire du droit d'habitation (JTAPI/1363/2015 du 23 novembre 2015 ; le recours formé contre ce jugement a été admis sur un autre point in ATA/363/2017 du 28 mars 2017). Par ailleurs, statuant sur la question de savoir si l'épouse séparée au bénéfice d'un droit d'habitation devait se voir imposée sur les frais hypothécaires acquittés par son mari, la chambre administrative a retenu que les personnes titulaires d'un droit d'usage ou d'habitation se trouvaient économiquement dans une position analogue à celle d'un propriétaire ou d'un usufruitier, de sorte qu'elles étaient imposables en lieu et place du propriétaire (ATA/924/2018 du 11 septembre 2018 consid. 5a, citant Nicolas MERLINO in Yves NOËL/Florence AUBRY GIRARDIN [éd.], Commentaire romand, Impôt fédéral direct, 2ème éd., 2017, n. 35 et 39 p. 507 s.). Sur la base de ce qui précède, la chambre administrative a confirmé la pratique de l'AFC-GE consistant à imposer le bénéficiaire du droit d'habitation au même titre</w:t>
      </w:r>
    </w:p>
    <w:p>
      <w:r>
        <w:t>- 7/10 - A/3212/2020 que l'usufruitier et, par conséquent, que ce premier est imposé sur la totalité du bien grevé de son droit au titre d'impôt sur la fortune (ATA/1161/2018 du 30 octobre 2018 consid. 4). Dans un arrêt plus récent, la chambre administrative a à nouveau jugé qu'il incombe au bénéficiaire du droit d'habitation, et non au nu-propriétaire, d'acquitter l'impôt sur la fortune et l'impôt immobilier complémentaire sur l'immeuble grevé de cette servitude personnelle (cf. ATA/65/2020 du 21 janvier 2020 précité). Dans un jugement du 4 mai 2020, cité par l’autorité intimée (JTAPI/343/2020), lequel porte sur un cas dans lequel le droit d’habitation fondé sur un jugement n’avait pas été inscrit au registre foncier, le tribunal a retenu qu’il incombait au titulaire de ce droit d'acquitter la totalité de l'impôt sur la valeur locative et sur la fortune y relatives, relevant que ce droit avait été stipulé dans un arrêt de la chambre civile de la Cour de justice (cf. consid. 7).</w:t>
      </w:r>
    </w:p>
    <w:p>
      <w:r>
        <w:rPr>
          <w:b/>
        </w:rPr>
        <w:t>E. 7</w:t>
      </w:r>
    </w:p>
    <w:p>
      <w:r>
        <w:t>Dans certains cas particuliers, il est possible de constituer une servitude sans inscription au registre foncier, « notamment » lorsque le bénéfice de la servitude se fonde sur un jugement formateur, entré en force. L'inscription au registre foncier n'est alors que déclarative, et non constitutive (cf. arrêt du Tribunal fédéral 5A_516/2011 du 8 novembre 2011 consid. 4.3.1 et les références citées).</w:t>
      </w:r>
    </w:p>
    <w:p>
      <w:r>
        <w:rPr>
          <w:b/>
        </w:rPr>
        <w:t>E. 8</w:t>
      </w:r>
    </w:p>
    <w:p>
      <w:r>
        <w:t>Aux termes de l’art. 484 CC, le disposant peut faire, à titre de legs, des libéralités qui n’emportent pas d’institution d’héritier (al. 1). Il pourra soit léguer un objet dépendant de la succession ou l’usufruit de tout ou partie de celle-ci, soit astreindre ses héritiers ou légataires à faire, sur la valeur des biens, des prestations en faveur d’une personne ou à la libérer d’une obligation (al. 2). Le légataire n'acquiert pas la qualité de successeur à titre universel du défunt à l'ouverture de la succession. Il ne fait pas partie de la communauté héréditaire et ne répond pas des dettes du défunt. Il n'est qu'un successeur entre vifs et, à ce titre, ne dispose que d'une créance tendant à la délivrance du bien légué ou à l'exécution de la prestation conférée par le défunt (cf. Anouchka HUBERT-FROIDEVAUX, Commentaire du droit des successions, 2012, n. 12 et 13 ad art. 484 CC p. 136). L’art. 485 CC stipule que la chose léguée est délivrée dans son état au jour de l’ouverture de la succession, avec ses détériorations et ses accroissements, libre ou grevée de charges (al. 1) et que le débiteur du legs a les droits et les obligations d’un gérant d’affaires pour impenses et détériorations postérieures à l’ouverture de la succession (al. 2). Le légataire n’acquiert qu’une créance en délivrance du legs contre les héritiers et si ceux-ci ne s’exécutent pas, il peut agir en justice pour réclamer son legs. Cette action lui appartient, si une intention contraire ne résulte pas du testament, dès que</w:t>
      </w:r>
    </w:p>
    <w:p>
      <w:r>
        <w:t>- 8/10 - A/3212/2020 les débiteurs des legs ont accepté la succession ou ne peuvent plus la répudier (cf. art. 562 CC cum art. 484 CC).</w:t>
      </w:r>
    </w:p>
    <w:p>
      <w:r>
        <w:rPr>
          <w:b/>
        </w:rPr>
        <w:t>E. 9</w:t>
      </w:r>
    </w:p>
    <w:p>
      <w:r>
        <w:t>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w:t>
      </w:r>
    </w:p>
    <w:p>
      <w:r>
        <w:rPr>
          <w:b/>
        </w:rPr>
        <w:t>E. 10</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 ; ATA/1077/2020 du 27 octobre 2020 consid. 7).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(ATA/513/2021 du 11 mai 2021 consid. 5b et les références citées).</w:t>
      </w:r>
    </w:p>
    <w:p>
      <w:r>
        <w:rPr>
          <w:b/>
        </w:rPr>
        <w:t>E. 11</w:t>
      </w:r>
    </w:p>
    <w:p>
      <w:r>
        <w:t>En l’espèce, le testament du de cujus, qui daterait du 29 décembre 2012 et dont un extrait est cité dans l’arrêt du Tribunal fédéral 5A_973/2017 du 4 juin 2019, n’a pas été versé au dossier, la recourante s’étant limitée à produire seulement une copie de cet arrêt. Cela étant, au vu de la teneur de cet extrait, il semble, certes, que C______ peut prétendre être légataire du droit d’habitation de l’immeuble dans la mesure « qui lui plair(ait) », ce que, à teneur de cet arrêt, elle a fait valoir en 2015 par une action en délivrance de ce legs. Ce seul fait ne permet toutefois pas de retenir que la recourante doit être libérée de son obligation, en sa qualité de copropriétaire de l’immeuble, de s'acquitter de l’impôt sur la valeur locative et sur la fortune y relatives, étant donné qu’elle n’a pas démontré avoir effectivement délivré ce legs en 2013 ou en 2014, conformément à l’art. 485 CC, aucun élément</w:t>
      </w:r>
    </w:p>
    <w:p>
      <w:r>
        <w:t>- 9/10 - A/3212/2020 au dossier ne permettant, du reste, de retenir qu’elle serait tenue de s’exécuter. Au vu des éléments figurant au dossier, il apparaît au contraire que la recourante s’est opposée à la délivrance de ce legs et, de ce fait, que C______ s’est vue contrainte d’intenter une action en délivrance de legs. Le constat que la recourante, en sa qualité de débitrice de ce legs, a refusé de s’exécuter est également corroboré par le fait que, selon le registre de l’OCPM, elle - et non C______ - a résidé dans l’immeuble du 1er janvier 2013 au 9 avril 2014. Le seul fait qu’elle aurait cessé de l’occuper personnellement depuis lors est insuffisant pour admettre que, dès cette dernière date, le droit d’habitation y relatif a effectivement été transféré à C______, rien n’indiquant du reste que celle-ci aurait occupé l'immeuble au cours de ces années. Dans ces conditions, c’est à bon droit que l’autorité intimée a imposé la moitié des valeurs fiscale et locative de l’immeuble chez la recourante.</w:t>
      </w:r>
    </w:p>
    <w:p>
      <w:r>
        <w:rPr>
          <w:b/>
        </w:rPr>
        <w:t>E. 12</w:t>
      </w:r>
    </w:p>
    <w:p>
      <w:r>
        <w:t>Au vu de ce qui précède, le recours, mal fondé, sera rejeté.</w:t>
      </w:r>
    </w:p>
    <w:p>
      <w:r>
        <w:rPr>
          <w:b/>
        </w:rPr>
        <w:t>E. 13</w:t>
      </w:r>
    </w:p>
    <w:p>
      <w:r>
        <w:t>Vu cette issue, un émolument de CHF 700.- sera mis à la charge de la recourante, qui succombe (art. 144 al. 1 LIFD et 52 al. 1 LPFisc). Cette dernière n'a pas droit à une indemnité de procédure (art. 87 al. 2 de la loi sur la procédure administrative du 12 septembre 1985 - LPA - E 5 10 - a contrario).</w:t>
      </w:r>
    </w:p>
    <w:p>
      <w:r>
        <w:t>- 10/10 - A/3212/2020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