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JTAPI/625/2024 vom 25. Juni 2024</w:t>
      </w:r>
    </w:p>
    <w:p>
      <w:r>
        <w:t>GE Cour de justice, 2024-06-25, FR</w:t>
      </w:r>
    </w:p>
    <w:p>
      <w:r>
        <w:rPr>
          <w:b/>
        </w:rPr>
        <w:t xml:space="preserve">Quelle: </w:t>
      </w:r>
      <w:r>
        <w:t>https://mcp.opencaselaw.ch/entscheid/ge_gerichte_JTAPI_625_2024</w:t>
      </w:r>
    </w:p>
    <w:p>
      <w:r>
        <w:t>FR: GE_GERICHTE JTAPI/625/2024 du 25 juin 2024</w:t>
      </w:r>
    </w:p>
    <w:p>
      <w:r>
        <w:t>IT: GE_GERICHTE JTAPI/625/2024 del 25 giugno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w:t>
      </w:r>
    </w:p>
    <w:p>
      <w:r>
        <w:t>- 5/9 - A/1947/2024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8</w:t>
      </w:r>
    </w:p>
    <w:p>
      <w:r>
        <w:t>L'étranger est passible d'une peine privative de liberté de trois ans au plus ou d'une peine pécuniaire s'il n'observe pas les mesures qui lui sont imposées dans ce cadre (cf. art. 119 LEI).</w:t>
      </w:r>
    </w:p>
    <w:p>
      <w:r>
        <w:rPr>
          <w:b/>
        </w:rPr>
        <w:t>E. 9</w:t>
      </w:r>
    </w:p>
    <w:p>
      <w:r>
        <w:t>Une mesure basée sur l’art. 74 al. 1 let. a LEI ne présuppose pas une condamnation pénale de l’intéressé (arrêts du Tribunal fédéral 2C_884/2020 précité consid. 3.3 ; 2C_123/2021 du 5 mars 2021).</w:t>
      </w:r>
    </w:p>
    <w:p>
      <w:r>
        <w:rPr>
          <w:b/>
        </w:rPr>
        <w:t>E. 10</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rPr>
          <w:b/>
        </w:rPr>
        <w:t>E. 11</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w:t>
      </w:r>
    </w:p>
    <w:p>
      <w:r>
        <w:t>- 6/9 - A/1947/2024 personne visée et le résultat escompté du point de vue de l'intérêt public (ATF 137 I 167 consid. 3.6 ; 136 I 197 consid. 4.4.4 : arrêt du Tribunal fédéral 2C_197/2013 du 31 juillet 2013 consid. 4.1).</w:t>
      </w:r>
    </w:p>
    <w:p>
      <w:r>
        <w:rPr>
          <w:b/>
        </w:rPr>
        <w:t>E. 12</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13</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14</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15</w:t>
      </w:r>
    </w:p>
    <w:p>
      <w:r>
        <w:t>Dans un jugement du 29 janvier 2024 (JTAPI/68/2024), le tribunal a procédé à une analyse de la jurisprudence de la chambre administrative de la Cour de justice (ci- après : la chambre administrative), retenant que la jurisprudence est d'une lecture incertaine sous l'angle de la proportionnalité de la durée d'une mesure d'interdiction territoriale, mais qu’il s'avère en réalité, en comparant les arrêts rendus par cette juridiction en 2023, que c'est également, voire principalement la pratique du commissaire de police qui semble fluctuante, les durées d'interdiction prononcées pour l'ensemble du territoire cantonal étant tantôt de six, douze, 18 ou 24 mois, sans que l'on puisse clairement rattacher les cas de très peu de gravité uniquement aux durées les moins longues.</w:t>
      </w:r>
    </w:p>
    <w:p>
      <w:r>
        <w:rPr>
          <w:b/>
        </w:rPr>
        <w:t>E. 16</w:t>
      </w:r>
    </w:p>
    <w:p>
      <w:r>
        <w:t>Des durées inférieures à six mois ne sont guère efficaces (cf. not. arrêt du Tribunal fédéral 2C_197/2013 du 31 juillet 2013 consid. 4.2 ; ATA/1371/2020 du 30</w:t>
      </w:r>
    </w:p>
    <w:p>
      <w:r>
        <w:t>- 7/9 - A/1947/2024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17</w:t>
      </w:r>
    </w:p>
    <w:p>
      <w:r>
        <w:t>En l'espèce, M. A______ n'est pas au bénéfice d'une autorisation de courte durée (art. 32 LEI), de séjour (art. 33 LEI) ou d'établissement (art. 34 LEI), ce qui n'est d'ailleurs pas contesté. Ne s’étant pas présenté à l’audience du 24 juin 2024, le tribunal se fondra sur les pièces du dossier pour statuer. M. A______ a été condamné à trois reprises les 23 septembre 2023 et 20 mars et 30 mai 2024 pour infractions à la LStup et également pour violation d’une interdiction de pénétrer sur le territoire genevois; même si ces deux dernières condamnations ne sont pas définitives puisque frappées d'opposition, il n'en demeure pas moins que M. A______ a reconnu avoir été en possession de crack (drogue dure) et de marijuana, d’en avoir fait du trafic et être consommateur de marijuana de manière régulière. A l’audience devant le tribunal, son conseil a encore confirmé que les oppositions ne portaient que sur la peine. A teneur des éléments figurant au dossier et des propres déclarations de M. A______ devant la police, ce dernier n'a jamais bénéficié d'une source de revenu licite à Genève, se déclarant à la recherche d’un emploi. Il a par ailleurs persisté à revenir dans le canton de Genève alors qu’il savait faire l’objet d’une interdiction territoriale et a été condamné pour cela. Il n’a de plus aucune attache Genève et rien ne permet de retenir qu’il serait sur le point de décrocher un travail sur Genève. Enfin, il a été incapable d’indiquer où il logeait. Aussi, il n'apparaît pas déraisonnable de penser que, d'une manière ou d'une autre, le trafic de stupéfiants avait pour but de l'aider à subvenir à ses besoins, notamment pour se procurer la marijuana qu'il consomme depuis plus d’une année en tout cas et qu'il pourrait, en conséquence, à l'avenir, être amené à récidiver dès lors qu'il est dépourvu de tout moyen de subsistance légal. En conséquence, les éléments qui précédent permettent de retenir un soupçon de menace à l'ordre et à la sécurité publics, même si les deux dernières ordonnances pénales ne sont pas en force. Les conditions de l'art. 74 LEI sont donc réalisées et le principe d'une interdiction territoriale fondé.</w:t>
      </w:r>
    </w:p>
    <w:p>
      <w:r>
        <w:rPr>
          <w:b/>
        </w:rPr>
        <w:t>E. 18</w:t>
      </w:r>
    </w:p>
    <w:p>
      <w:r>
        <w:t>Le principe de la mesure étant fondé, reste à examiner le respect du principe de la proportionnalité dans le choix de la durée, soit 24 mois et du périmètre, soit l’entier du canton. Il doit être rappelé que M. A______ a été condamné à trois reprises pour du trafic de stupéfiants et que les deux dernières condamnations portaient sur de la vente de crack, soit de la drogue dure. Comme déjà précisé, M. A______ a reconnu ces trafics, ses oppositions aux ordonnances pénales ne portant que sur la peine et non les faits. Il n’a par ailleurs pas respecté une interdiction territoriale dont il faisait</w:t>
      </w:r>
    </w:p>
    <w:p>
      <w:r>
        <w:t>- 8/9 - A/1947/2024 l’objet en début d’année 2024. Son comportement dénote un mépris total de l’ordre juridique suisse et des décisions prises à son encontre. Bien que la durée puisse sembler longue, elle apparait conforme au principe de proportionnalité et à la jurisprudence eu égard à la situation de faits, notamment à l’absence totale de besoins avérés de se rendre dans le canton de Genève. Quant au périmètre, il permet d’éloigner M. A______ des lieux connus de la drogue mais également de l’ensemble du canton où il n’a comme indiqué précédemment aucune raison de venir, étant encore rappelé qu’il a déclaré résider en France.</w:t>
      </w:r>
    </w:p>
    <w:p>
      <w:r>
        <w:rPr>
          <w:b/>
        </w:rPr>
        <w:t>E. 19</w:t>
      </w:r>
    </w:p>
    <w:p>
      <w:r>
        <w:t>Partant, le tribunal confirmera l'interdiction de pénétrer dans une région déterminée, soit l’entier canton de Genève prise à l'encontre de M. A______ pour une durée de</w:t>
      </w:r>
    </w:p>
    <w:p>
      <w:r>
        <w:rPr>
          <w:b/>
        </w:rPr>
        <w:t>E. 24</w:t>
      </w:r>
    </w:p>
    <w:p>
      <w:r>
        <w:t>mois. 20.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21. Un éventuel recours déposé contre le présent jugement n'aura pas d'effet suspensif (art. 10 al. 1 LaLEtr).</w:t>
      </w:r>
    </w:p>
    <w:p>
      <w:r>
        <w:t>- 9/9 - A/1947/2024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