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JTAPI/623/2025 vom 11. Juni 2025</w:t>
      </w:r>
    </w:p>
    <w:p>
      <w:r>
        <w:t>GE Cour de justice, 2025-06-11, FR</w:t>
      </w:r>
    </w:p>
    <w:p>
      <w:r>
        <w:rPr>
          <w:b/>
        </w:rPr>
        <w:t xml:space="preserve">Quelle: </w:t>
      </w:r>
      <w:r>
        <w:t>https://mcp.opencaselaw.ch/entscheid/ge_gerichte_JTAPI_623_2025</w:t>
      </w:r>
    </w:p>
    <w:p>
      <w:r>
        <w:t>FR: GE_GERICHTE JTAPI/623/2025 du 11 juin 2025</w:t>
      </w:r>
    </w:p>
    <w:p>
      <w:r>
        <w:t>IT: GE_GERICHTE JTAPI/623/2025 del 11 giugno 2025</w:t>
      </w:r>
    </w:p>
    <w:p>
      <w:pPr>
        <w:pStyle w:val="Heading2"/>
      </w:pPr>
      <w:r>
        <w:t>Erwägungen</w:t>
      </w:r>
    </w:p>
    <w:p>
      <w:r>
        <w:rPr>
          <w:b/>
        </w:rPr>
        <w:t>E. 9</w:t>
      </w:r>
    </w:p>
    <w:p>
      <w:r>
        <w:t>août 2023 –désormais entrée en force suite au retrait du recours du 5 décembre 2023. A la suite de cette décision, l'autorité intimée ne disposait d'aucune marge de manœuvre, étant précisé que la situation de l'enfant a été instruite dans le cadre de la procédure ayant mené à la décision du 26 août 2024 et dans le cadre des recours déposés, objets de la présente procédure, laquelle confirme le bien-fondé de la décision entreprise.</w:t>
      </w:r>
    </w:p>
    <w:p>
      <w:r>
        <w:t>Partant, et dès lors qu'il ne se justifie pas de l'annuler pour des motifs formels, dès lors que cette annulation n'aboutirait qu'à un allongement inutile de la procédure, la décision du 15 septembre 2023 sera également confirmée. 41.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w:t>
      </w:r>
    </w:p>
    <w:p>
      <w:r>
        <w:rPr>
          <w:b/>
        </w:rPr>
        <w:t>E. 10</w:t>
      </w:r>
    </w:p>
    <w:p>
      <w:r>
        <w:t>novembre 2020 consid. 11a ; ATA/991/2020 du 6 octobre 2020 consid. 6b ; ATA/1798/2019 du 10 décembre 2019 consid. 6 ; ATA/1694/2019 du 19 novembre 2019 consid. 6). 42. En l’occurrence, les recourants n’obtenant pas d’autorisation de séjour, c’est à bon droit que l’autorité intimée a prononcé leur renvoi de Suisse.</w:t>
      </w:r>
    </w:p>
    <w:p>
      <w:r>
        <w:t>- 21/24 - A/3337/2023 43. 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ATA/239/2016 du 15 mars 2016 consid. 6b ; ATA/403/2015 du 28 avril 2015 consid. 8c ; ATA/675/2014 du 26 août 2014 consid. 7). 44. 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w:t>
      </w:r>
    </w:p>
    <w:p>
      <w:r>
        <w:t>- 22/24 - A/3337/2023 arrêts du Tribunal fédéral 2C_672/2019 du 22 août 2020 consid. 5.1 ; 2C_672/2019 du 22 août 2019 consid. 5.1 ; 2C_951/2015 du 17 novembre 2015 consid. 3.1). 45.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D-6799/2017 du 8 octobre 2020).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46. En l’espèce, il ne ressort pas du dossier que l'exécution du renvoi des recourants serait impossible, illicite ou inexigible, étant précisé qu'ils n'ont pas démontré que le suivi du traitement médical de l'enfant C______ ne pourrait être mis en place ou ne serait pas disponible au Brésil. Les autorités devront toutefois s'assurer que la famille quitte la suisse avec le traitement idoine pour palier au temps d'attente d'ores et déjà annoncé par le corps médical de H______ (Brésil). 47. Compte tenu de ce qui précède, le recours, mal fondé, doit être rejeté. 48.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 49. 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t>- 23/24 - A/3337/2023 50. En vertu des art. 89 al. 2 et 111 al. 2 de la loi sur le Tribunal fédéral du 17 juin 2005 (LTF - RS 173.110), le présent jugement sera communiqué au SEM.</w:t>
      </w:r>
    </w:p>
    <w:p>
      <w:r>
        <w:t>- 24/24 - A/3337/2023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