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JTAPI/619/2024 vom 24. Juni 2024</w:t>
      </w:r>
    </w:p>
    <w:p>
      <w:r>
        <w:t>GE Cour de justice, 2024-06-24, FR</w:t>
      </w:r>
    </w:p>
    <w:p>
      <w:r>
        <w:rPr>
          <w:b/>
        </w:rPr>
        <w:t xml:space="preserve">Quelle: </w:t>
      </w:r>
      <w:r>
        <w:t>https://mcp.opencaselaw.ch/entscheid/ge_gerichte_JTAPI_619_2024</w:t>
      </w:r>
    </w:p>
    <w:p>
      <w:r>
        <w:t>FR: GE_GERICHTE JTAPI/619/2024 du 24 juin 2024</w:t>
      </w:r>
    </w:p>
    <w:p>
      <w:r>
        <w:t>IT: GE_GERICHTE JTAPI/619/2024 del 24 giugno 2024</w:t>
      </w:r>
    </w:p>
    <w:p>
      <w:pPr>
        <w:pStyle w:val="Heading2"/>
      </w:pPr>
      <w:r>
        <w:t>Erwägungen</w:t>
      </w:r>
    </w:p>
    <w:p>
      <w:r>
        <w:rPr>
          <w:b/>
        </w:rPr>
        <w:t>E. 1</w:t>
      </w:r>
    </w:p>
    <w:p>
      <w:r>
        <w:t>Le tribunal connaît des recours dirigés, comme en l’espèce, contre les décisions sur réclamation en matière de la TPC (art. 115 al. 2 et 116 al. 1 de la loi sur l'organisation judiciaire du 26 septembre 2010 - LOJ - E 2 05 ; art. 49 de la loi de procédure fiscale du 4 octobre 2001 - LPFisc - D 3 17).</w:t>
      </w:r>
    </w:p>
    <w:p>
      <w:r>
        <w:t>- 4/7 - A/2740/2023</w:t>
      </w:r>
    </w:p>
    <w:p>
      <w:r>
        <w:rPr>
          <w:b/>
        </w:rPr>
        <w:t>E. 2</w:t>
      </w:r>
    </w:p>
    <w:p>
      <w:r>
        <w:t>Interjeté en temps utile et dans les formes prescrites devant la juridiction compétente, le recours est recevable au sens de l'art. 49 LPFisc.</w:t>
      </w:r>
    </w:p>
    <w:p>
      <w:r>
        <w:rPr>
          <w:b/>
        </w:rPr>
        <w:t>E. 3</w:t>
      </w:r>
    </w:p>
    <w:p>
      <w:r>
        <w:t>La question à résoudre est celle de savoir si le gain en capital réalisé par la recourante lors de la vente de son immeuble entre dans la notion du chiffre des affaires au sens de l'art. 304 de la loi sur les contributions publiques du 9 novembre 1887 - LCP - D 3 05 (en vigueur lors des années en cause). La recourante soutient en effet qu'en vertu de l'al. 3 let. e de cet article, le bénéfice en capital litigieux ne devait pas être inclus dans son chiffre des affaires.</w:t>
      </w:r>
    </w:p>
    <w:p>
      <w:r>
        <w:rPr>
          <w:b/>
        </w:rPr>
        <w:t>E. 4</w:t>
      </w:r>
    </w:p>
    <w:p>
      <w:r>
        <w:t>A teneur de la LCP, en vigueur jusqu’au 31 décembre 2023, les communes peuvent prélever la TPC auprès de toutes les sociétés et autres personnes morales qui ont dans le canton leur siège ou un établissement stable ou y exercent pour leur compte une activité lucrative notamment par l'intermédiaire de bureaux ou d'agents non indépendants (art. 301). Le montant de la TPC de chaque contribuable est établi sur la base de coefficients, applicables aux chiffres annuels de ses affaires, aux loyers annuels de tous les immeubles, locaux et terrains qu'il occupe professionnellement et à l'effectif annuel des personnes travaillant dans son entreprise (art. 302). Les contribuables sont classés par l'autorité de taxation dans le groupe professionnel correspondant à leur activité principale ou auquel elle peut être rattachée par analogie (art. 307 al. 1). Les coefficients applicables aux chiffres des affaires des différents groupes professionnels, qui sont plafonnés à l'art. 307A, sont fixés sur la base de l'intensité de rendement moyen des activités prises en considération (art. 307B al. 1). Tant les groupes professionnels que les coefficients y afférents sont définis aux art. 12A ss RDLCP. L’art. 12B al. 3 RDLCP précise que le coefficient applicable aux gains réalisés par un contribuable sur des opérations immobilières est de 5,5‰.</w:t>
      </w:r>
    </w:p>
    <w:p>
      <w:r>
        <w:rPr>
          <w:b/>
        </w:rPr>
        <w:t>E. 5</w:t>
      </w:r>
    </w:p>
    <w:p>
      <w:r>
        <w:t>S'agissant de la notion de « chiffre des affaires », sur laquelle se base l'un des coefficients permettant de calculer la taxe, elle est définie à l'art. 304 LCP, aux termes duquel :</w:t>
      </w:r>
    </w:p>
    <w:p>
      <w:r>
        <w:t>Le chiffre des affaires du contribuable est la somme des prestations brutes qu'il a obtenues pour son propre compte et en son nom, en contrepartie de livraisons ou de mise à disposition de marchandises et de biens, ainsi que de services rendus (al. 1).</w:t>
      </w:r>
    </w:p>
    <w:p>
      <w:r>
        <w:t>Sont notamment compris dans le chiffre des affaires (al. 2) : a) les prestations obtenues par le contribuable pour des travaux remis en sous- 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w:t>
      </w:r>
    </w:p>
    <w:p>
      <w:r>
        <w:t>- 5/7 - A/2740/2023</w:t>
      </w:r>
    </w:p>
    <w:p>
      <w:r>
        <w:t>Ne sont pas compris dans le chiffre des affaires pour autant qu'ils ressortent clairement de la comptabilité (al. 3) : a) les rabais et escomptes accordés aux clients ; b) les impôts à la consommation, tels que l'ICHA, les taxes à l'importation sur les carburants et les combustibles, les impôts spéciaux sur les boissons et sur le tabac, ainsi que le droit des pauvres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 avec l'activité lucrative ; j) le produit de la location non meublée de biens immobiliers.</w:t>
      </w:r>
    </w:p>
    <w:p>
      <w:r>
        <w:rPr>
          <w:b/>
        </w:rPr>
        <w:t>E. 6</w:t>
      </w:r>
    </w:p>
    <w:p>
      <w:r>
        <w:t>Dans un cas similaire au cas présent, la chambre administrative de la Cour de justice a considéré que l’art. 304 al. 1 LCP définissait de manière très large le chiffre des affaires imposable et que la notion « en contrepartie » figurant dans cette disposition devait se lire en tenant compte de l’ensemble des alinéas de l’art. 304 LCP. Ainsi, l’énumération exemplative de l’al. 2 était complétée par une liste d’éléments exclus du chiffre des affaires ainsi que certaines contre-exceptions dans l’al. 3, qui était formulé de manière à faire douter du caractère strict des termes « en contrepartie » employés à l’alinéa 1. L’interprétation littérale de cette disposition n’excluait pas de la notion du chiffre des affaires les intérêts découlant des placements effectués par une société sur son propre capital social. Cette interprétation était confirmée par l’art. 304 al. 3 let. f a contrario, lequel excluait le produit de la gestion de la fortune privée des personnes physiques du chiffre des affaires à prendre en compte pour la taxation. L’interprétation historique de cette disposition aboutissait au même résultat, puisque si le produit de la gestion de la fortune privée d’une personne physique, non investie dans son entreprise, ne faisait pas partie de son chiffre d’affaires commercial, il n’en était pas de même du produit de la gestion de la fortune sociale d’une personne morale (ATA/137/2019 du 13 février 2019 consid. 5 et les références citées). Sur cette base, la chambre administrative a retenu qu’une participation vendue par une société - participation qui lui permettait de détenir économiquement son immeuble d’exploitation - constituait un actif lié à l’activité même de la société et</w:t>
      </w:r>
    </w:p>
    <w:p>
      <w:r>
        <w:t>- 6/7 - A/2740/2023 que sa vente constituait un revenu lié à cette activité, même s’il fallait considérer qu’il s’agissait d’une activité accessoire qui différait de l’activité principale. En tant que tel, ce produit n’était pas exonéré du gain en capital au sens de l’art. 304 al. 3 let. e LPC. La chambre administrative a par ailleurs considéré que la LCP ne permettait pas de faire une distinction entre le produit de l’activité quotidienne d’une société de celle occasionnelle. Ainsi, un produit de la vente des actions intervenue à la suite d’événements indépendants de la volonté de la société, et qui avait donc un caractère exceptionnel, était également soumis à la TPC (ATA/137/2019 précité consid. 6). Sur cette même base, le tribunal de céans a retenu (dans une affaire également similaire au cas présent) que la vente par une société de l’un de ses biens immobiliers s’inscrivait à l’évidence dans le cadre de son but social, qui était d’acheter, de vendre, d’administrer et de louer des biens immobiliers. Il était indéniable que la vente d’un immeuble, par une société active dans le domaine de l’immobilier et poursuivant un tel but, rentrait dans le cadre de son activité lucrative, ce d’autant plus que l'immeuble vendu était un placement. En conséquence, le gain en capital y relatif entrait dans le produit d'une activité lucrative au sens de la contre-exception figurant à l'art. 304 al. 3 let. e LCP. De plus, même à retenir que la vente du bien immobilier ne constituait pas une activité lucrative, le gain en capital faisait néanmoins partie des gains accessoires. Le placement du capital social dans un immeuble paraissait lié à l’activité lucrative de la société et même si tel n'était pas le cas, le gain tiré de la vente de cet immeuble faisait tout de même l'objet de la TPC, comme l'auraient été des intérêts encaissés si, par exemple, le même capital était placé dans des participations (JTAPI/420/2013 consid. 6 à 9 et les références).</w:t>
      </w:r>
    </w:p>
    <w:p>
      <w:r>
        <w:rPr>
          <w:b/>
        </w:rPr>
        <w:t>E. 7</w:t>
      </w:r>
    </w:p>
    <w:p>
      <w:r>
        <w:t>En l’espèce, la jurisprudence cantonale précitée s’impose de la même façon. En effet, il n’est pas contesté que le produit de la vente de l’immeuble constitue un bénéfice en capital. Cet immeuble étant lié à l’activité même de la recourante, sa vente constitue un revenu lié à cette activité. Peu importe qu’il s’agit d’un immeuble d’exploitation ou de production, le produit de la gestion de la fortune sociale d’une personne morale devant être soumis à la TPC. De plus, en application de cette même jurisprudence, le gain en capital en cause peut être considéré également comme le produit de l'activité lucrative accessoire, au sens de la contre-exception figurant à l'art. 304 al 3 let. e LCP, et donc soumis à la TPC. Ainsi, le fait que le produit de la location de l’immeuble soit exonéré de la TPC, de par l’art. 304 al. 3 let. j LCP, est irrelevant.</w:t>
      </w:r>
    </w:p>
    <w:p>
      <w:r>
        <w:rPr>
          <w:b/>
        </w:rPr>
        <w:t>E. 8</w:t>
      </w:r>
    </w:p>
    <w:p>
      <w:r>
        <w:t>Au vu de ce qui précède, le recours sera rejeté.</w:t>
      </w:r>
    </w:p>
    <w:p>
      <w:r>
        <w:rPr>
          <w:b/>
        </w:rPr>
        <w:t>E. 9</w:t>
      </w:r>
    </w:p>
    <w:p>
      <w:r>
        <w:t>En application des art.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- 7/7 - A/2740/2023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