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JTAPI/617/2023 vom 5. Juni 2023</w:t>
      </w:r>
    </w:p>
    <w:p>
      <w:r>
        <w:t>GE Cour de justice, 2023-06-05, FR</w:t>
      </w:r>
    </w:p>
    <w:p>
      <w:r>
        <w:rPr>
          <w:b/>
        </w:rPr>
        <w:t xml:space="preserve">Quelle: </w:t>
      </w:r>
      <w:r>
        <w:t>https://mcp.opencaselaw.ch/entscheid/ge_gerichte_JTAPI_617_2023</w:t>
      </w:r>
    </w:p>
    <w:p>
      <w:r>
        <w:t>FR: GE_GERICHTE JTAPI/617/2023 du 5 juin 2023</w:t>
      </w:r>
    </w:p>
    <w:p>
      <w:r>
        <w:t>IT: GE_GERICHTE JTAPI/617/2023 del 5 giugno 2023</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74 al. 1 let. a LEI,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- 4/8 - A/1716/2023</w:t>
      </w:r>
    </w:p>
    <w:p>
      <w:r>
        <w:rPr>
          <w:b/>
        </w:rPr>
        <w:t>E. 5</w:t>
      </w:r>
    </w:p>
    <w:p>
      <w:r>
        <w:t>L'art. 6 al. 3 LaLEI prévoit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7</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rPr>
          <w:b/>
        </w:rPr>
        <w:t>E. 8</w:t>
      </w:r>
    </w:p>
    <w:p>
      <w:r>
        <w:t>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Grégor CHATTON/Laurent MERZ, op.cit, n. 16 ad art. 74 p. 733 et les arrêts cités).</w:t>
      </w:r>
    </w:p>
    <w:p>
      <w:r>
        <w:rPr>
          <w:b/>
        </w:rPr>
        <w:t>E. 9</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w:t>
      </w:r>
    </w:p>
    <w:p>
      <w:r>
        <w:t>- 5/8 - A/1716/2023 consid. 5.1 ;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10</w:t>
      </w:r>
    </w:p>
    <w:p>
      <w:r>
        <w:t>février 2014).</w:t>
      </w:r>
    </w:p>
    <w:p>
      <w:r>
        <w:rPr>
          <w:b/>
        </w:rPr>
        <w:t>E. 11</w:t>
      </w:r>
    </w:p>
    <w:p>
      <w:r>
        <w:t>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rPr>
          <w:b/>
        </w:rPr>
        <w:t>E. 12</w:t>
      </w:r>
    </w:p>
    <w:p>
      <w:r>
        <w:t>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rPr>
          <w:b/>
        </w:rPr>
        <w:t>E. 13</w:t>
      </w:r>
    </w:p>
    <w:p>
      <w:r>
        <w:t>Concernant la fixation de la durée de la mesure, le fait que l'art. 74 al. 1 LEI ne prévoie pas de durée maximale ou minimale laisse une certaine latitude sur ce point à l'autorité compétente, la durée devant être fixée en tenant compte des</w:t>
      </w:r>
    </w:p>
    <w:p>
      <w:r>
        <w:t>- 6/8 - A/1716/2023 circonstances de chaque cas d'espèce et en procédant à une balance entre les intérêts publics et privés en jeu (ATA/1282/2017 précité consid.5).</w:t>
      </w:r>
    </w:p>
    <w:p>
      <w:r>
        <w:rPr>
          <w:b/>
        </w:rPr>
        <w:t>E. 14</w:t>
      </w:r>
    </w:p>
    <w:p>
      <w:r>
        <w:t>En l'espèce, Mme A______ n'est pas au bénéfice d'une autorisation de courte durée (art. 32 LEI), de séjour (art. 33 LEI) ou d'établissement (art. 34 LEI). Sa nationalité française n'empêche par ailleurs pas le prononcé d'une interdiction de périmètre conformément à l'art. 74 al. 1 LEI (art. 5 al. 1 Annexe I ALCP ; 2 al. 2 LEI ; arrêt du Tribunal fédéral 2C_762 du 13 avril 2022 consid. 4 ; ATA/1138/2022 du 10 novembre 2022 consid. 7 et les références citées). Elle a au surplus été condamné par le Ministère public du canton de Genève, par ordonnance pénale du 21 mai 2023, pour vol, soit un crime au sens de l’art. 10 al. 2 CP. Il importe peu que cette ordonnance ne soit pas définitive, Mme A______ ayant reconnu les vols incriminés, lors de son audition par la police. Certes la recourante, âgée de 19 ans, était jusqu’ici inconnue de la justice pénale Suisse. L’on relèvera cependant qu’elle a indiqué être venue en Suisse pour commettre des vols à l’étalage, qu’elle est sans emploi et sans revenus, que les vols ont eu lieu dans pas moins de trois magasins différents, le même jour, et qu’ils portent sur des objets d’une valeur totale de plus de CHF 1'000.-. Au vu de ce qui précède, le tribunal considère que l'intéressée peut effectivement être perçue comme une menace pour l'ordre et la sécurité publics et il apparaît qu'elle pourrait encore commettre des infractions de même nature que celles pour laquelle elle a été condamnée si elle était autorisée à continuer à pouvoir se rendre à Genève. Les conditions d'une mesure d'interdiction de pénétrer dans une région déterminée sont donc remplies.</w:t>
      </w:r>
    </w:p>
    <w:p>
      <w:r>
        <w:rPr>
          <w:b/>
        </w:rPr>
        <w:t>E. 15</w:t>
      </w:r>
    </w:p>
    <w:p>
      <w:r>
        <w:t>Concernant le périmètre de l'interdiction, étendu à l'ensemble du canton de Genève, comme le tribunal de céans a déjà eu l'occasion de le retenir, il ne constitue pas un usage excessif du pouvoir d'appréciation de l'autorité intimée. Mme A______ ne justifie en tout état d'aucun motif rendant sa présence à Genève indispensable. Elle n’a en particulier pas démontré avoir été en recherche d’emploi en Suisse au moment de son arrestation et la postulation versée à l’audience du 2 juin 2023, datant du 22 mai 2023, a manifestement été déposée pour les besoins de la cause. En tout état, la représentante du commissaire de police a indiqué en audience qu'il serait disposé à délivrer un sauf-conduit à l'intéressée, si cette dernière devait trouver du travail à Genève et obtenir un permis G, afin de lui permettre de faire le trajet entre son domicile français et son lieu de travail. Le périmètre sera par conséquent confirmé et il sera donné acte au commissaire de police de son engagement à réexaminer la situation de l'intéressée en cas de présentation d'un contrat de travail et d’obtention d’un permis G dans le canton de Genève.</w:t>
      </w:r>
    </w:p>
    <w:p>
      <w:r>
        <w:t>- 7/8 - A/1716/2023 Quant à la durée de la mesure fixée à douze mois par le commissaire de police, cette dernière apparait en revanche disproportionnée au regard des circonstances et des intérêts en présence, le commissaire de police se devant, non seulement de prendre en considération l'intérêt à protéger la sécurité et l'ordre public mais également celui privé de Mme A______ à pouvoir exercer une activité lucrative à Genève et ainsi subvenir à ses besoins. Il semble ainsi particulièrement rigoureux d'appliquer d'emblée une durée de douze mois à l'interdiction en cause, le principe de proportionnalité supposant en effet que l'on raisonne en termes d'adéquation entre les motifs de la décision et les conséquences qu'elle entraîne. Partant, il y a lieu, conformément audit principe, d'en réduire la durée à six mois, qui ne saurait être considérée comme trop courte pour être apte à protéger l'ordre et la sécurité publics dans le périmètre concerné, sans toutefois empêcher l'intéressée, à moyen terme, de trouver une activité professionnelle dans le canton de Genève.</w:t>
      </w:r>
    </w:p>
    <w:p>
      <w:r>
        <w:rPr>
          <w:b/>
        </w:rPr>
        <w:t>E. 16</w:t>
      </w:r>
    </w:p>
    <w:p>
      <w:r>
        <w:t>Au vu de ce qui précède, le tribunal confirmera l'interdiction de pénétrer dans une région déterminée prise à l'encontre de Mme A______ mais pour une durée de six mois.</w:t>
      </w:r>
    </w:p>
    <w:p>
      <w:r>
        <w:rPr>
          <w:b/>
        </w:rPr>
        <w:t>E. 17</w:t>
      </w:r>
    </w:p>
    <w:p>
      <w:r>
        <w:t>Conformément à l'art. 9 al. 6 LaLEtr, le présent jugement sera communiqué à Mme A______, à son avocate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- 8/8 - A/1716/2023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