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JTAPI/614/2025 vom 6. Juni 2025</w:t>
      </w:r>
    </w:p>
    <w:p>
      <w:r>
        <w:t>GE Cour de justice, 2025-06-06, FR</w:t>
      </w:r>
    </w:p>
    <w:p>
      <w:r>
        <w:rPr>
          <w:b/>
        </w:rPr>
        <w:t xml:space="preserve">Quelle: </w:t>
      </w:r>
      <w:r>
        <w:t>https://mcp.opencaselaw.ch/entscheid/ge_gerichte_JTAPI_614_2025</w:t>
      </w:r>
    </w:p>
    <w:p>
      <w:r>
        <w:t>FR: GE_GERICHTE JTAPI/614/2025 du 6 juin 2025</w:t>
      </w:r>
    </w:p>
    <w:p>
      <w:r>
        <w:t>IT: GE_GERICHTE JTAPI/614/2025 del 6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w:t>
      </w:r>
    </w:p>
    <w:p>
      <w:r>
        <w:t>- 5/11 - A/3916/2024 dispositions légales applicables, ou lorsqu'elle viole des principes généraux du droit tels que l'interdiction de l'arbitraire, l'égalité de traitement, le principe de la bonne foi et le principe de la proportionnalité (ATF 143 III 140 consid. 4.1.3).</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w:t>
      </w:r>
    </w:p>
    <w:p>
      <w:r>
        <w:rPr>
          <w:b/>
        </w:rPr>
        <w:t>E. 5.5</w:t>
      </w:r>
    </w:p>
    <w:p>
      <w:r>
        <w:t>;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6</w:t>
      </w:r>
    </w:p>
    <w:p>
      <w:r>
        <w:t>Les recourants contestent l’ordre de remise en état rendu par le département le 22 novembre 2024.</w:t>
      </w:r>
    </w:p>
    <w:p>
      <w:r>
        <w:rPr>
          <w:b/>
        </w:rPr>
        <w:t>E. 7</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8</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9</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étant précisé que le perturbateur par situation correspond avant tout au propriétaire, le critère déterminant étant le pouvoir de disposition, qui permet à celui qui le détient de maintenir la chose dans un état conforme à la réglementation en vigueur (ATA/ 432/2022 du 26 avril 2022 consid. 2c). Les installations en cause ne doivent ensuite pas avoir été autorisées en vertu du droit en vigueur au moment de leur réalisation. Un délai de plus de trente ans ne</w:t>
      </w:r>
    </w:p>
    <w:p>
      <w:r>
        <w:t>- 6/11 - A/3916/2024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10</w:t>
      </w:r>
    </w:p>
    <w:p>
      <w:r>
        <w:t>S'agissant de la dernière des cinq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rPr>
          <w:b/>
        </w:rPr>
        <w:t>E. 11</w:t>
      </w:r>
    </w:p>
    <w:p>
      <w:r>
        <w:t>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12</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13</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14</w:t>
      </w:r>
    </w:p>
    <w:p>
      <w:r>
        <w:t>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t>- 7/11 - A/3916/2024</w:t>
      </w:r>
    </w:p>
    <w:p>
      <w:r>
        <w:rPr>
          <w:b/>
        </w:rPr>
        <w:t>E. 15</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w:t>
      </w:r>
    </w:p>
    <w:p>
      <w:r>
        <w:rPr>
          <w:b/>
        </w:rPr>
        <w:t>E. 16</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w:t>
      </w:r>
    </w:p>
    <w:p>
      <w:r>
        <w:rPr>
          <w:b/>
        </w:rPr>
        <w:t>E. 17</w:t>
      </w:r>
    </w:p>
    <w:p>
      <w:r>
        <w:t>Dans son arrêt du 28 avril 2021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w:t>
      </w:r>
    </w:p>
    <w:p>
      <w:r>
        <w:rPr>
          <w:b/>
        </w:rPr>
        <w:t>E. 18</w:t>
      </w:r>
    </w:p>
    <w:p>
      <w:r>
        <w:t>Le Tribunal fédéral est particulièrement strict en zone agricole et a ainsi confirmé les ordres de démolition ou d'enlèvement des constructions ou installations</w:t>
      </w:r>
    </w:p>
    <w:p>
      <w:r>
        <w:t>- 8/11 - A/3916/2024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rPr>
          <w:b/>
        </w:rPr>
        <w:t>E. 19</w:t>
      </w:r>
    </w:p>
    <w:p>
      <w:r>
        <w:t>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w:t>
      </w:r>
    </w:p>
    <w:p>
      <w:r>
        <w:rPr>
          <w:b/>
        </w:rPr>
        <w:t>E. 20</w:t>
      </w:r>
    </w:p>
    <w:p>
      <w:r>
        <w:t>Selon la jurisprudence du Tribunal fédéral, le nouvel art. 25 al. 5 LAT, réintroduisant un délai de prescription de trente ans hors zone à bâtir ne saurait s'appliquer à titre anticipé, dès lors que cette modification n'est pas entrée en vigueur (arrêt du Tribunal fédéral 1C_182/2023 du 16 août 2024 consid. 3; 1C_667/2023 du 3 juin 2024 consid. 4.5.3). Un tel grief a été jugé comme irrecevable, faute d'entrée en vigueur de ladite norme (1C_452/2023 du 31 mai 2024 consid. 8).</w:t>
      </w:r>
    </w:p>
    <w:p>
      <w:r>
        <w:rPr>
          <w:b/>
        </w:rPr>
        <w:t>E. 21</w:t>
      </w:r>
    </w:p>
    <w:p>
      <w:r>
        <w:t>Dans plusieurs jurisprudences récentes (JTAPI/44/2025 du 9 janvier 2025, JTAPI/194/ 2025 du 20 février 2025 et JTAPI/389/2025 du 10 avril 2025, tous trois actuellement contestés à la chambre administrative, et JTAPI/934/2024 du 19 septembre 2024, JTAPI/809/2024 du 22 août 2024 et JTAPI/650/2024 du 27 juin 2024, en force), le tribunal a annulé des ordres de remise en état, considérant notamment qu’ils étaient disproportionnés au vu de la modification de la LAT annoncée dans la FF 2023 2488 qui rétablissait la prescription trentenaire qu'avait</w:t>
      </w:r>
    </w:p>
    <w:p>
      <w:r>
        <w:t>- 9/11 - A/3916/2024 supprimé l'ATF 147 II 309, laquelle n'entrerait certes en vigueur qu'en 2025, et ne saurait donc être appliquée de manière anticipée, mais devait cependant être prise en considération dans le cadre du principe de la proportionnalité, sauf à faire abstraction du pouvoir d'appréciation dont dispose l'autorité et à s'en tenir à une application purement mécanique du droit (cf. notamment JTAPI/650/2024 précité consid. 14). Dans ces trois procédures dont les jugements sont devenus définitif, les objets en cause existaient depuis plus de 30 ans.</w:t>
      </w:r>
    </w:p>
    <w:p>
      <w:r>
        <w:rPr>
          <w:b/>
        </w:rPr>
        <w:t>E. 22</w:t>
      </w:r>
    </w:p>
    <w:p>
      <w:r>
        <w:t>Cependant, dans son arrêt du 18 mars 2025 (ATA/278/2025 considérant 6.4), la chambre administrative a réaffirmé que la prescription trentenaire n’est actuellement pas applicable aux constructions incompatibles avec la zone agricole (arrêt du Tribunal fédéral 1C_182/2023 du 16 août 2024 consid. 3), et l’adoption d’une modification de la LAT non encore entrée en vigueur n’y change rien, la présente espèce devant être jugée à l’aune du droit en vigueur, comme la chambre de céans a continué à le faire pour des litiges récents portant sur des remises en état (ATA/160/2025 du 11 février 2025 ; ATA/258/2024 du 27 février 2024). Elle a ainsi confirmé la suppression d’un portail, d’une clôture périphérique, d’un jour supplémentaire en toiture, d’un escalier extérieur ainsi que la remise en état des aménagements extérieurs selon les autorisations en force ainsi que du terrain naturel.</w:t>
      </w:r>
    </w:p>
    <w:p>
      <w:r>
        <w:rPr>
          <w:b/>
        </w:rPr>
        <w:t>E. 23</w:t>
      </w:r>
    </w:p>
    <w:p>
      <w:r>
        <w:t>En l’espèce, l'ordre de remise en état a été adressé aux recourants, qui sont propriétaires des parcelles concernées, et donc, à tout le moins, perturbateurs par situation. Le département était ainsi fondé à s’adresser à eux en vue de solliciter la remise en état des objets litigieux, ce qu'ils ne contestent pas. En outre, les objets en cause n’ont manifestement jamais été autorisés, ce que les recourants ne contestent pas non plus. La question de la prescription trentenaire ne se pose pas en l’espèce. En effet, une telle prescription ne s’applique actuellement pas, à teneur de la jurisprudence du Tribunal fédéral, hors de la zone à bâtir. Or, les parcelles en cause se situent en zone agricole. La future réintroduction de cette prescription trentenaire désormais validée par les deux chambres de l’Assemblée fédérale et contre laquelle aucun référendum n’a été déposé, n’y change rien du strict point de vue de la légalité. Par ailleurs, le Tribunal fédéral a, comme rappelé ci-avant, déjà exclu une éventuelle application anticipée du futur art. 25 al. 5 LAT et a jugé un tel grief irrecevable. Il n’apparaît pour le surplus pas que l’autorité aurait suscité d’une quelconque façon des expectatives qu’il se justifierait de protéger sous l’angle de la bonne foi. S'agissant de la cinquième condition, au vu de l’importance de l’emprise au sol des aménagements et constructions visés par l’ordre de remise en état et de la jurisprudence très récente de la chambre administrative, on ne conçoit pas quelle autre mesure moins incisive que la remise en état ordonnée aurait pu être adoptée pour rétablir une situation conforme au droit. L’ordre de remise en état querellé apparaît ainsi proportionné et propre à atteindre le but visé, soit notamment obtenir</w:t>
      </w:r>
    </w:p>
    <w:p>
      <w:r>
        <w:t>- 10/11 - A/3916/2024 le respect de la séparation du bâti et du non-bâti en zone agricole. Aucune mesure moins incisive ne permettrait de préserver le principe de la séparation de l’espace bâti et non bâti, étant encore rappelé que la jurisprudence accorde une protection stricte de la zone agricole.</w:t>
      </w:r>
    </w:p>
    <w:p>
      <w:r>
        <w:rPr>
          <w:b/>
        </w:rPr>
        <w:t>E. 24</w:t>
      </w:r>
    </w:p>
    <w:p>
      <w:r>
        <w:t>Mal fondé, le recours sera rejeté.</w:t>
      </w:r>
    </w:p>
    <w:p>
      <w:r>
        <w:rPr>
          <w:b/>
        </w:rPr>
        <w:t>E. 25</w:t>
      </w:r>
    </w:p>
    <w:p>
      <w:r>
        <w:t>En application des art. 87 al. 1 LPA et 1 et 2 du règlement sur les frais, émoluments et indemnités en procédure administrative du 30 juillet 1986 (RFPA - E 5 10.03), les recourants, qui succombent, pris conjointement et solidairement, sont condamnés au paiement d’un émolument s'élevant à CHF 900.- ; il est couvert par l’avance de frais versée à la suite du dépôt du recours. Vu l’issue du litige, aucune indemnité de procédure ne sera allouée (art. 87 al. 2 LPA).</w:t>
      </w:r>
    </w:p>
    <w:p>
      <w:r>
        <w:t>- 11/11 - A/3916/2024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