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JTAPI/613/2024 vom 24. Juni 2024</w:t>
      </w:r>
    </w:p>
    <w:p>
      <w:r>
        <w:t>GE Cour de justice, 2024-06-24, FR</w:t>
      </w:r>
    </w:p>
    <w:p>
      <w:r>
        <w:rPr>
          <w:b/>
        </w:rPr>
        <w:t xml:space="preserve">Quelle: </w:t>
      </w:r>
      <w:r>
        <w:t>https://mcp.opencaselaw.ch/entscheid/ge_gerichte_JTAPI_613_2024</w:t>
      </w:r>
    </w:p>
    <w:p>
      <w:r>
        <w:t>FR: GE_GERICHTE JTAPI/613/2024 du 24 juin 2024</w:t>
      </w:r>
    </w:p>
    <w:p>
      <w:r>
        <w:t>IT: GE_GERICHTE JTAPI/613/2024 del 24 giugno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w:t>
      </w:r>
    </w:p>
    <w:p>
      <w:r>
        <w:rPr>
          <w:b/>
        </w:rPr>
        <w:t>E. 05</w:t>
      </w:r>
    </w:p>
    <w:p>
      <w:r>
        <w:t>;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8C_712/2020 du 21 juillet 2021 consid. 4.3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(ATA/1331/2023 du 12 décembre 2022 consid. 3).</w:t>
      </w:r>
    </w:p>
    <w:p>
      <w:r>
        <w:rPr>
          <w:b/>
        </w:rPr>
        <w:t>E. 5</w:t>
      </w:r>
    </w:p>
    <w:p>
      <w:r>
        <w:t>Est litigeuse le refus de prolonger l’autorisation de séjour de la recourante.</w:t>
      </w:r>
    </w:p>
    <w:p>
      <w:r>
        <w:t>- 8/15 - A/3080/2023</w:t>
      </w:r>
    </w:p>
    <w:p>
      <w:r>
        <w:rPr>
          <w:b/>
        </w:rPr>
        <w:t>E. 6</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rPr>
          <w:b/>
        </w:rPr>
        <w:t>E. 6.2</w:t>
      </w:r>
    </w:p>
    <w:p>
      <w:r>
        <w:t>; 2C_92/2023 du 5 mai 2023 consid. 6.2). De jurisprudence constante, le calcul de la période minimale de trois ans commence à courir dès le début de la cohabitation effective des époux en Suisse et s’achève au moment où ceux-ci cessent de faire ménage commun (ATF 140 II 345 consid. 4.1 ; arrêt du Tribunal fédéral 2C_431/2023 du 26 octobre 2023 consid. 6.2) ; peu importe combien de temps le mariage perdure encore formellement par la suite (ATF 136 II 113 consid. 3.2 et 3.3). La limite des trois ans est absolue et s’applique même s’il ne reste que quelques jours pour atteindre la durée des trente-six mois exigés par l’art. 50 al. 1 let. a LEI (ATF 137 II 345 consid. 3.1.3 ; arrêt du Tribunal fédéral 2C_1048/2022 du 22 mars 2023 consid. 4.2).</w:t>
      </w:r>
    </w:p>
    <w:p>
      <w:r>
        <w:rPr>
          <w:b/>
        </w:rPr>
        <w:t>E. 7</w:t>
      </w:r>
    </w:p>
    <w:p>
      <w:r>
        <w:t>Selon l’art. 43 al. 1 LEI, le conjoint étranger du titulaire d’une autorisation d’établissement ainsi que ses enfants célibataires étrangers de moins de 18 ans ont droit à l’octroi d’une autorisation de séjour et à la prolongation de sa durée de validité aux conditions suivantes : a. ils vivent en ménage commun avec lui ; b. ils disposent d’un logement approprié ; c. ils ne dépendent pas de l’aide sociale ; d. ils sont aptes à communiquer dans la langue nationale parlée au lieu de domicile ; e. la personne à l’origine de la demande de regroupement familial ne perçoit pas de prestations complémentaires annuelles au sens de la loi du 6 octobre 2006 sur les prestations complémentaires ni ne pourrait en percevoir grâce au regroupement familial.</w:t>
      </w:r>
    </w:p>
    <w:p>
      <w:r>
        <w:rPr>
          <w:b/>
        </w:rPr>
        <w:t>E. 8</w:t>
      </w:r>
    </w:p>
    <w:p>
      <w:r>
        <w:t>L’exigence du ménage commun prévue aux art. 42 à 44 LEI n’est pas applicable lorsque la communauté familiale est maintenue et que des raisons majeures justifiant l’existence de domiciles séparés peuvent être invoquées (art. 49 LEI). Le but de cette disposition n’est pas de permettre aux époux de vivre séparés en Suisse pendant une longue période et exige que la communauté familiale soit maintenue (ATF 140 II 345 consid. 4.4.1; arrêt du Tribunal fédéral 2C_431/2023 du 26 octobre 2023 consid. 6.2). Une exception à l’exigence du ménage commun peut résulter de raisons majeures dues, notamment, à des obligations professionnelles ou à une séparation provisoire en raison de problèmes familiaux importants (art. 76 OASA).</w:t>
      </w:r>
    </w:p>
    <w:p>
      <w:r>
        <w:rPr>
          <w:b/>
        </w:rPr>
        <w:t>E. 9</w:t>
      </w:r>
    </w:p>
    <w:p>
      <w:r>
        <w:t>En l’espèce, il n’est pas contesté que la recourante et son époux se sont séparés assez rapidement après l’arrivée en Suisse de cette dernière. La recourante a toutefois annoncé dans sa réplique du 22 décembre 2023 que son époux et elle-même avaient décidé de donner une seconde chance à leur mariage et que leur jugement de divorce prononcé au Kosovo avait été annulé. Cette annonce a été contestée par M. C______, lequel a réitéré à diverses reprises, et en particulier le 20 décembre 2023, qu’il n’avait nulle intention de reprendre la vie commune avec son épouse et que celle-ci était parvenue à lui soutirer sa signature pour effectuer des démarches au Kosovo. Dans ces circonstances, face à des propos contradictoires, le tribunal retiendra la dernière position exprimée par M. C______, à savoir qu’il ne veut pas se réconcilier</w:t>
      </w:r>
    </w:p>
    <w:p>
      <w:r>
        <w:t>- 9/15 - A/3080/2023 avec la recourante, ce qui implique l’absence d’une vie conjugale effective. D’une part, le tribunal estime plus plausible ses propos, la recourante ayant affirmé des faits - tels le nom de famille des membres de sa famille en Suisse - qui se sont révélés faux, ce qui n’est pas son cas. En outre, la véracité de ses fiches de salaire d’octobre à décembre 2021 semble douteuse dans la mesure où le salaire brut est fort important pour une personne qui venait d’arriver en Suisse et qui ne parlait pas le français à l’époque. Partant, il y a lieu de considérer que les époux A______ et C______ ne vivent pas en ménage commun à ce jour. Par conséquent, en l’absence de ménage commun avec son époux et le fait qu’il n’existe aucun élément susceptible de démontrer que la constitution de domiciles séparés résulterait de raisons majeures au sens de l’art. 49 LEI, la recourante ne saurait se prévaloir d’un droit au renouvellement de son autorisation de séjour sur la base de l’art. 43 LEI.</w:t>
      </w:r>
    </w:p>
    <w:p>
      <w:r>
        <w:rPr>
          <w:b/>
        </w:rPr>
        <w:t>E. 10</w:t>
      </w:r>
    </w:p>
    <w:p>
      <w:r>
        <w:t>Aux termes de l’art. 50 al. 1 let. a LEI, après dissolution de la famille, le droit du conjoint et des enfants à l’octroi d’une autorisation de séjour et à la prolongation de sa durée de validité en vertu des art. 42 et 43 LEI subsiste si l’union conjugale a duré au moins trois ans et les critères d’intégration définis à l’art. 58a LEI sont remplis. Ces deux conditions sont cumulatives (cf. ATF 140 II 345 consid. 4 ; 136 II 113 consid. 3.3.3 ; arrêts du Tribunal fédéral 2C_63/2024 du 18 avril 2024 consid.</w:t>
      </w:r>
    </w:p>
    <w:p>
      <w:r>
        <w:rPr>
          <w:b/>
        </w:rPr>
        <w:t>E. 11</w:t>
      </w:r>
    </w:p>
    <w:p>
      <w:r>
        <w:t>En l’espèce, le mariage des époux A______ et C______ ayant été célébré le ______ 2018 au Kosovo, la recourante étant arrivée en Suisse le 4 juillet 2021 et cette dernière ayant quitté le domicile conjugal au plus tard le 15 février 2022, la durée de la vie commune a duré moins de trois ans, en l’occurrence un peu plus d’une demi-année. Ainsi, dans la mesure où les deux conditions posées par l’art. 50 al. 1 let. a LEI sont cumulatives et que la première d’entre elles n’est pas remplie, il n’y a pas lieu d’examiner si l’intégration de la recourante est réussie.</w:t>
      </w:r>
    </w:p>
    <w:p>
      <w:r>
        <w:rPr>
          <w:b/>
        </w:rPr>
        <w:t>E. 12</w:t>
      </w:r>
    </w:p>
    <w:p>
      <w:r>
        <w:t>L’art.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w:t>
      </w:r>
    </w:p>
    <w:p>
      <w:r>
        <w:t>- 10/15 - A/3080/2023 victime de violence conjugale, que le mariage a été conclu en violation de la libre volonté d’un des époux ou que la réintégration sociale dans le pays de provenance semble fortement compromise (art. 50 al. 2 LEI). Cette disposition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 arrêt du Tribunal fédéral 2C_364/2022 du 7 septembre 2023 consid. 2.3). L’art. 77 al. 2 OASA précise que les raisons personnelles majeures visées à l’art. 50 al. 1 let. b LEI, sont notamment données lorsque le conjoint est victime de violence conjugale ou lorsque le mariage a été conclu en violation de la libre volonté d’un des époux ou que la réintégration sociale dans le pays de provenance semble fortement compromise. L’énumération de ces cas n’est pas exhaustive et laisse aux autorités une certaine liberté d’appréciation fondée sur des motifs humanitaires (ATF 136 II 1 consid. 5.3).</w:t>
      </w:r>
    </w:p>
    <w:p>
      <w:r>
        <w:rPr>
          <w:b/>
        </w:rPr>
        <w:t>E. 13</w:t>
      </w:r>
    </w:p>
    <w:p>
      <w:r>
        <w:t>Si la violence conjugale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 Les autorités compétentes tiennent aussi compte des indications et des renseignements fournis par des services spécialisés (art. 77 al. 6bis OASA).</w:t>
      </w:r>
    </w:p>
    <w:p>
      <w:r>
        <w:rPr>
          <w:b/>
        </w:rPr>
        <w:t>E. 14</w:t>
      </w:r>
    </w:p>
    <w:p>
      <w:r>
        <w:t>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 arrêts du Tribunal fédéral 2C_956/ 2013 du 11 avril 2014 consid. 3.1 ; 2C_784/2013 du 11 février 2014 consid. 4.1). Lorsqu’une séparation se produit dans une telle constellation, le droit de séjour qui était originairement dérivé de la relation conjugale se transforme en un droit de séjour propre.</w:t>
      </w:r>
    </w:p>
    <w:p>
      <w:r>
        <w:t>- 11/15 - A/3080/2023 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w:t>
      </w:r>
    </w:p>
    <w:p>
      <w:r>
        <w:rPr>
          <w:b/>
        </w:rPr>
        <w:t>E. 15</w:t>
      </w:r>
    </w:p>
    <w:p>
      <w:r>
        <w:t>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À l’instar de violences physiques, seuls des actes de violence psychique d’une intensité particulière peuvent justifier l’application de l’art. 50 al. 1 let. b LEI (ATF 138 II 229 consid. 3.2 ; arrêts du Tribunal fédéral 2C_47/2023 du 31 mars 2023 consid. 3.4.). Des affirmations d’ordre général ou des indices faisant état de tensions ponctuelles sont insuffisants (ATF 138 II 229 consid. 3.2.3 ; arrêt du Tribunal fédéral 2C_681/2021 du 26 janvier 2022 consid. 5.1). 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6bis OASA ; arrêts du Tribunal fédéral 2C_49/2021 du 29 mars 2022 consid. 5.3). L’art. 50 al. 2 LEI n’exige toutefois pas la preuve stricte de la maltraitance, mais se contente d’un faisceau d’indices suffisants (arrêts du Tribunal fédéral 2C_593/2019 du 11 juillet 2019 consid. 5.2 ; 2C_196/2014 du 19 mai 2014 consid. 3.4) respectivement d’un degré de vraisemblance, sur la base d’une appréciation globale de tous les éléments en présence (ATF 142 I 152 consid. 6.2 ; arrêt du Tribunal fédéral 2C_671/2017 du 29 mars 2018 consid. 2.3). Ainsi, selon le degré de preuve de la vraisemblance, il suffit que l’autorité estime comme plus probable la réalisation des faits allégués que la thèse contraire (ATA/1333/2021 du 7 décembre 2021 consid. 7f).</w:t>
      </w:r>
    </w:p>
    <w:p>
      <w:r>
        <w:rPr>
          <w:b/>
        </w:rPr>
        <w:t>E. 16</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w:t>
      </w:r>
    </w:p>
    <w:p>
      <w:r>
        <w:t>- 12/15 - A/3080/2023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LEI et consid. 3.2.2 et 3.2.3 sur la notion de « raisons personnelles majeures »). Parmi les éléments déterminants, il convient de citer la très longue durée du séjour en Suisse, une intégration sociale particulièrement poussée, une réussite professionnelle remarquable, l’intéressé possédant des connaissances profession- 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138 II 229 consid. 3.1 ; arrêt du Tribunal fédéral 2C_112/2020 du 9 juin 2020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références).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 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w:t>
      </w:r>
    </w:p>
    <w:p>
      <w:r>
        <w:rPr>
          <w:b/>
        </w:rPr>
        <w:t>E. 17</w:t>
      </w:r>
    </w:p>
    <w:p>
      <w:r>
        <w:t>La recourante soutient que la poursuite de son séjour en Suisse se justifie au motif qu’elle aurait été victime de violences conjugales.</w:t>
      </w:r>
    </w:p>
    <w:p>
      <w:r>
        <w:t>- 13/15 - A/3080/2023 En l’espèce, il n’existe aucune preuve matérielle des violences domestiques alléguées, tel que constat de lésions, photographies, interventions policières, dépôt de plainte pénale ou autres. L’unique élément produit par la recourante est une attestation de l’association AVVEC qui confirme avoir été consultée à deux reprises, d’ailleurs plus de six mois après la séparation effective. Au vu de ces éléments, force est pour le tribunal de retenir que rien ne permet de conclure à l’existence de violences domestiques, a fortiori de l’intensité requise par la jurisprudence susvisée. Au surplus, aucun élément ne permet de démontrer que la réintégration sociale de la recourante dans son pays d’origine serait fortement compromise. En effet, le Kosovo est le pays dans lequel elle a vécu son enfance, son adolescence ainsi que le début de sa vie d’adulte. Elle y connaît les us et les coutumes. Plusieurs membres de sa famille, avec qui elle a gardé des contacts, vivent également dans ce pays. Le fait qu’elle ne retrouvera sans doute pas le même niveau de vie au Kosovo que celui dont elle bénéficie actuellement en Suisse n’est pas pertinent au regard des critères rappelés ci-dessus. Enfin, la recourante n’a pas démontré qu’elle se serait créé des attaches profondes avec la Suisse ni qu’elle aurait des problèmes de santé sérieux, l’empêchant de retourner dans son pays d’origine. Dans ces conditions, il apparaît que la décision de l’OCPM est conforme au droit en vigueur.</w:t>
      </w:r>
    </w:p>
    <w:p>
      <w:r>
        <w:rPr>
          <w:b/>
        </w:rPr>
        <w:t>E. 18</w:t>
      </w:r>
    </w:p>
    <w:p>
      <w:r>
        <w:t>Aux termes de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 Elle ne dispose à ce titre d’aucun pouvoir d’appréciation, le renvoi constituant la conséquence logique et inéluctable du rejet d’une demande d’autorisation (arrêt du Tribunal administratif fédéral C-4183/2011 du 16 janvier 2012 consid. 3.1 ; ATA/ 122/2023 du 7 février 2023 consid. 8a).</w:t>
      </w:r>
    </w:p>
    <w:p>
      <w:r>
        <w:rPr>
          <w:b/>
        </w:rPr>
        <w:t>E. 19</w:t>
      </w:r>
    </w:p>
    <w:p>
      <w:r>
        <w:t>En l’espèce, dans la mesure où la recourante est dépourvue à ce jour de titre de séjour valable en Suisse, l’OCPM n’avait d’autre choix que de prononcer son renvoi en application de l’art. 64 al. 1 let. c LEI.</w:t>
      </w:r>
    </w:p>
    <w:p>
      <w:r>
        <w:rPr>
          <w:b/>
        </w:rPr>
        <w:t>E. 20</w:t>
      </w:r>
    </w:p>
    <w:p>
      <w:r>
        <w:t>Mal fondé, le recours sera rejeté.</w:t>
      </w:r>
    </w:p>
    <w:p>
      <w:r>
        <w:rPr>
          <w:b/>
        </w:rPr>
        <w:t>E. 21</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t>- 14/15 - A/3080/2023</w:t>
      </w:r>
    </w:p>
    <w:p>
      <w:r>
        <w:rPr>
          <w:b/>
        </w:rPr>
        <w:t>E. 22</w:t>
      </w:r>
    </w:p>
    <w:p>
      <w:r>
        <w:t>En vertu des art. 89 al. 2 et 111 al. 2 de la loi sur le Tribunal fédéral du 17 juin 2005 (LTF - RS 173.110), le présent jugement sera communiqué au secrétariat d’État aux migrations.</w:t>
      </w:r>
    </w:p>
    <w:p>
      <w:r>
        <w:t>- 15/15 - A/3080/2023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