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JTAPI/612/2020 vom 17. Juli 2020</w:t>
      </w:r>
    </w:p>
    <w:p>
      <w:r>
        <w:t>GE Cour de justice, 2020-07-17, FR</w:t>
      </w:r>
    </w:p>
    <w:p>
      <w:r>
        <w:rPr>
          <w:b/>
        </w:rPr>
        <w:t xml:space="preserve">Quelle: </w:t>
      </w:r>
      <w:r>
        <w:t>https://mcp.opencaselaw.ch/entscheid/ge_gerichte_JTAPI_612_2020</w:t>
      </w:r>
    </w:p>
    <w:p>
      <w:r>
        <w:t>FR: GE_GERICHTE JTAPI/612/2020 du 17 juillet 2020</w:t>
      </w:r>
    </w:p>
    <w:p>
      <w:r>
        <w:t>IT: GE_GERICHTE JTAPI/612/2020 del 17 luglio 2020</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t>- 4/7 - A/2085/2020</w:t>
      </w:r>
    </w:p>
    <w:p>
      <w:r>
        <w:rPr>
          <w:b/>
        </w:rPr>
        <w:t>E. 3</w:t>
      </w:r>
    </w:p>
    <w:p>
      <w:r>
        <w:t>Statuant ce jour, le tribunal respecte en outre le délai de vingt jours que lui impose l'art. 9 al. 1 let. b LaLEtr.</w:t>
      </w:r>
    </w:p>
    <w:p>
      <w:r>
        <w:rPr>
          <w:b/>
        </w:rPr>
        <w:t>E. 4</w:t>
      </w:r>
    </w:p>
    <w:p>
      <w:r>
        <w:t>Selon l'art. 74 al. 1 de la loi fédérale sur les étrangers et l'intégration du 16 décembre 2005 (LEI - RS 142.20),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(let. a).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5</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Selon l’art. 7A LaLEtr, dès son interpellation, l'étranger est conduit devant un commissaire de police qui lui donne connaissance de la proposition de mise en rétention, d'assignation territoriale ou de mise en détention émanant de l'office cantonal de la population et des migrations et lui donne l'occasion de s'exprimer à ce sujet.</w:t>
      </w:r>
    </w:p>
    <w:p>
      <w:r>
        <w:rPr>
          <w:b/>
        </w:rPr>
        <w:t>E. 6</w:t>
      </w:r>
    </w:p>
    <w:p>
      <w:r>
        <w:t>En l’espèce, aucun élément du dossier ne permet de retenir que M. A______ n’aurait pas été entendu avant la notification de la décision querellée pour faire valoir ses arguments. En tout état, lors de l’audience de ce jour, M. A______ aurait eu la possibilité, s’il s’était présenté, d’exposer ses arguments et exercer ainsi pleinement son droit d’être entendu.</w:t>
      </w:r>
    </w:p>
    <w:p>
      <w:r>
        <w:rPr>
          <w:b/>
        </w:rPr>
        <w:t>E. 7</w:t>
      </w:r>
    </w:p>
    <w:p>
      <w:r>
        <w:t>D'après la jurisprudence, une condamnation pénale définitive sanctionnant les faits qui suscitent le prononcé d'une mesure fondée sur l'art. 74 al. 1 let. a LEI n'est pas indispensable ; par exemple, le simple soupçon qu'un étranger puisse commettre des infractions dans le milieu de la drogue justifie une mesure prise en application de cette disposition (cf. arrêts du Tribunal fédéral 2C_570/2016 du 30 juin 2016 consid. 5.3 ; 2C_197/2013 du 31 juillet 2013 consid. 3 ; 2C_437/2009 du 27 octobre 2009 consid. 2.1 ; 2A.347/2003 du 24 novembre 2003 consid. 2.2 ;</w:t>
      </w:r>
    </w:p>
    <w:p>
      <w:r>
        <w:t>- 5/7 - A/2085/2020 ATA/124/2015 du 30 janvier 2015 ; ATA/73/2014 du 10 février 2014). Un tel soupçon - indépendamment du fait que la condamnation pénale y relative soit contestée et, donc, non définitive - peut découler du seul fait de la possession de stupéfiants destinés à la propre consommation (cf. arrêts du Tribunal fédéral 2C_570/2016 du 30 juin 2016 consid. 5.3 ; 2C_197/2013 du 31 juillet 2013 consid. 3.1 ; 2C_437/2009 du 27 octobre 2009 consid. 2.1).</w:t>
      </w:r>
    </w:p>
    <w:p>
      <w:r>
        <w:rPr>
          <w:b/>
        </w:rPr>
        <w:t>E. 8</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9</w:t>
      </w:r>
    </w:p>
    <w:p>
      <w:r>
        <w:t>Les étrangers dépourvus d'autorisation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w:t>
      </w:r>
    </w:p>
    <w:p>
      <w:r>
        <w:rPr>
          <w:b/>
        </w:rPr>
        <w:t>E. 10</w:t>
      </w:r>
    </w:p>
    <w:p>
      <w:r>
        <w:t>En l'espèce, M. A______ a été condamné par ordonnance pénale du 12 juillet 2020 pour vol ; il a précédemment été condamné pour vol et, à une reprise pour infractions à la LStup. Quand bien même cette ordonnance n’est pas encore entrée en force, ni sa dernière condamnation puisqu’il s’y est opposé, les circonstances dans lesquelles il a été arrêté permettent à tout le moins de nourrir des soupçons sur sa participation au vol qui lui est reproché, étant rappelé que M. A______, qui se trouvait sur les lieux de l’infraction, a été formellement reconnu par la victime du vol. Par ailleurs, il ne s’agit pas de sa première infraction commise sur le territoire genevois, puisque, comme déjà indiqué, il a notamment été condamné à plusieurs reprises pour vol. Ces circonstances fondent dès lors des soupçons légitimes au sens de l'art. 74 LEI. M. A______ est par ailleurs dépourvu d'autorisation de séjour et sans aucune source de revenu. Les deux conditions cumulatives d'une interdiction territoriale au sens de l'art. 74 LEI sont donc réalisées.</w:t>
      </w:r>
    </w:p>
    <w:p>
      <w:r>
        <w:rPr>
          <w:b/>
        </w:rPr>
        <w:t>E. 11</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w:t>
      </w:r>
    </w:p>
    <w:p>
      <w:r>
        <w:t>- 6/7 - A/2085/2020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Néanmoins, selon la jurisprudence établie de la chambre administrative de la Cour de justice, le périmètre d'interdiction peut s'étendre à tout le canton lorsque la personne concernée n'est pas attribuée au canton de Genève et n'allègue ou ne démontre pas y avoir d'attaches particulières (ATA/632/2018 du 19 juin 2018 et jurispr. cit.). Elles ne peuvent en outre pas être ordonnées pour une durée indéterminée (arrêts du Tribunal fédéral 2C_1044/2012 du 5 novembre 2012 consid. 3.3 ; 2A.514/2006 du 23 janvier 2007 consid. 3.3.1 ; 2A.583/2000 du 6 avril 2001 consid. 3c). Cela étant, le Tribunal fédéral considère qu'une durée d'interdiction de six mois paraît à priori nécessaire pour que la mesure soit apte à atteindre son but (ATF 2C_197/2013 du 31 mars 2013).</w:t>
      </w:r>
    </w:p>
    <w:p>
      <w:r>
        <w:rPr>
          <w:b/>
        </w:rPr>
        <w:t>E. 12</w:t>
      </w:r>
    </w:p>
    <w:p>
      <w:r>
        <w:t>En l'espèce, M. A______ ne fait valoir aucune raison valable de se trouver sur le territoire genevois. Il est dépourvu de documents d’identité et d’une quelconque autorisation de séjourner en Suisse et indique vouloir entreprendre une formation sans donner aucun détail. Il est sans aucune source de revenu et a commis plusieurs infractions, visiblement dès son arrivée sur le sol helvétique. Il ne fait enfin pas valoir qu’il aurait des attaches particulières dans le canton.</w:t>
      </w:r>
    </w:p>
    <w:p>
      <w:r>
        <w:rPr>
          <w:b/>
        </w:rPr>
        <w:t>E. 13</w:t>
      </w:r>
    </w:p>
    <w:p>
      <w:r>
        <w:t>Dans ces conditions, il apparaît qu'il n'existe pas de raison suffisante pour réduire la durée de la mesure d'interdiction prise à l'encontre de M. A______.</w:t>
      </w:r>
    </w:p>
    <w:p>
      <w:r>
        <w:rPr>
          <w:b/>
        </w:rPr>
        <w:t>E. 14</w:t>
      </w:r>
    </w:p>
    <w:p>
      <w:r>
        <w:t>Partant, le tribunal confirmera l'interdiction de pénétrer dans le canton de Genève prise à l'encontre de M. A______ pour une durée de douze mois.</w:t>
      </w:r>
    </w:p>
    <w:p>
      <w:r>
        <w:rPr>
          <w:b/>
        </w:rPr>
        <w:t>E. 15</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w:t>
      </w:r>
    </w:p>
    <w:p>
      <w:r>
        <w:rPr>
          <w:b/>
        </w:rPr>
        <w:t>E. 16</w:t>
      </w:r>
    </w:p>
    <w:p>
      <w:r>
        <w:t>Un éventuel recours déposé contre le présent jugement n'aura pas d'effet suspensif (art. 10 al. 1 LaLEtr).</w:t>
      </w:r>
    </w:p>
    <w:p>
      <w:r>
        <w:t>- 7/7 - A/2085/2020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