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JTAPI/611/2025 vom 5. Juni 2025</w:t>
      </w:r>
    </w:p>
    <w:p>
      <w:r>
        <w:t>GE Cour de justice, 2025-06-05, FR</w:t>
      </w:r>
    </w:p>
    <w:p>
      <w:r>
        <w:rPr>
          <w:b/>
        </w:rPr>
        <w:t xml:space="preserve">Quelle: </w:t>
      </w:r>
      <w:r>
        <w:t>https://mcp.opencaselaw.ch/entscheid/ge_gerichte_JTAPI_611_2025</w:t>
      </w:r>
    </w:p>
    <w:p>
      <w:r>
        <w:t>FR: GE_GERICHTE JTAPI/611/2025 du 5 juin 2025</w:t>
      </w:r>
    </w:p>
    <w:p>
      <w:r>
        <w:t>IT: GE_GERICHTE JTAPI/611/2025 del 5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w:t>
      </w:r>
    </w:p>
    <w:p>
      <w:r>
        <w:rPr>
          <w:b/>
        </w:rPr>
        <w:t>E. 05</w:t>
      </w:r>
    </w:p>
    <w:p>
      <w:r>
        <w:t>; art. 143 et 145 al. 1 LCI). 2. Interjeté en temps utile et dans les formes prescrites devant la juridiction compétente, le recours est recevable au sens des art.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(ATA/53/2025 du 14 janvier 2025 consid. 4).</w:t>
      </w:r>
    </w:p>
    <w:p>
      <w:r>
        <w:rPr>
          <w:b/>
        </w:rPr>
        <w:t>E. 5</w:t>
      </w:r>
    </w:p>
    <w:p>
      <w:r>
        <w:t>La recourante conteste l’amende administrative d’un montant de CHF 5’000.- infligée par le département, tant dans son principe que dans sa quotité.</w:t>
      </w:r>
    </w:p>
    <w:p>
      <w:r>
        <w:rPr>
          <w:b/>
        </w:rPr>
        <w:t>E. 6</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7</w:t>
      </w:r>
    </w:p>
    <w:p>
      <w:r>
        <w:t>Est passible d’une amende administrative de CHF 100.- à CHF 150’000.- tout contrevenant à la LCI, à ses règlements d’application ainsi qu’aux ordres du département (art. 137 al. 1 LCI).</w:t>
      </w:r>
    </w:p>
    <w:p>
      <w:r>
        <w:rPr>
          <w:b/>
        </w:rPr>
        <w:t>E. 8</w:t>
      </w:r>
    </w:p>
    <w:p>
      <w:r>
        <w:t>Il est tenu compte, dans la fixation du montant de l’amende, du degré de gravité de l’infraction ; la violation des prescriptions par cupidité ainsi que les cas de récidive constituent notamment des circonstances aggravantes (art. 137 al. 3 LCI).</w:t>
      </w:r>
    </w:p>
    <w:p>
      <w:r>
        <w:t>- 14/18 - A/3048/2024</w:t>
      </w:r>
    </w:p>
    <w:p>
      <w:r>
        <w:rPr>
          <w:b/>
        </w:rPr>
        <w:t>E. 9</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Alain MACALUSO/ Laurent MOREILLON/ Nicolas QUELOZ [éd.], Commentaire romand du Code pénal II, Art. 111-392 CP, 2017, n. 2 ad art. 292 p. 1887).</w:t>
      </w:r>
    </w:p>
    <w:p>
      <w:r>
        <w:rPr>
          <w:b/>
        </w:rPr>
        <w:t>E. 10</w:t>
      </w:r>
    </w:p>
    <w:p>
      <w:r>
        <w:t>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(cf. ATA/147/2014 du 11 mars 2014 consid. 11 et les références ; ATA/455/2000 du 9 août 2000 consid. 3d).</w:t>
      </w:r>
    </w:p>
    <w:p>
      <w:r>
        <w:rPr>
          <w:b/>
        </w:rPr>
        <w:t>E. 11</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CP.</w:t>
      </w:r>
    </w:p>
    <w:p>
      <w:r>
        <w:rPr>
          <w:b/>
        </w:rPr>
        <w:t>E. 12</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13</w:t>
      </w:r>
    </w:p>
    <w:p>
      <w:r>
        <w:t>Il est ainsi en particulier nécessaire que le contrevenant ait commis une faute, fût- ce sous la forme d’une simple négligence (cf. not. ATA/625/2021 du 15 juin 2021 consid. 4b ; ATA/559/2021 du 25 mai 2021 consid. 7d ; ATA/13/2020 du 7 janvier 2020 consid. 7c ; ATA/1828/2019 du 17 décembre 2019 consid. 13c ;</w:t>
      </w:r>
    </w:p>
    <w:p>
      <w:r>
        <w:t>- 15/18 - A/3048/2024 ATA/1277/2018 du 27 novembre 2018 consid. 6c ; Ulrich HÄFELIN/Georg MÜLLER/Felix UHLMANN, ibidem).</w:t>
      </w:r>
    </w:p>
    <w:p>
      <w:r>
        <w:rPr>
          <w:b/>
        </w:rPr>
        <w:t>E. 14</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w:t>
      </w:r>
    </w:p>
    <w:p>
      <w:r>
        <w:rPr>
          <w:b/>
        </w:rPr>
        <w:t>E. 15</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134 IV 17 consid. 2.1 ; 129 IV 6 consid. 6.1 et les références citées ; arrêts du Tribunal fédéral 6B_28/2016 du 10 octobre 2016 consid. 5.1 ; 6B_1276/2015 du 29 juin 2016 consid. 2.1).</w:t>
      </w:r>
    </w:p>
    <w:p>
      <w:r>
        <w:rPr>
          <w:b/>
        </w:rPr>
        <w:t>E. 16</w:t>
      </w:r>
    </w:p>
    <w:p>
      <w:r>
        <w:t>Enfin, l’amende doit respecter le principe de la proportionnalité garanti par l’art. 5 al. 2 de la Constitution fédérale de la Confédération suisse du 18 avril 1999 (Cst. - RS 101 ; ATA/313/2017 du 21 mars 2017 ; ATA/871/2015 du 25 août 2015 ; ATA/824/2015 du 11 août 2015), lequel commande que la mesure étatique soit nécessaire et apte à atteindre le but prévu et qu’elle soit raisonnable pour la personne concernée (ATF 140 I 257 consid. 6.3.1 ; 140 II 194 consid. 5.8.2 ; 139 I 218 consid. 4.3).</w:t>
      </w:r>
    </w:p>
    <w:p>
      <w:r>
        <w:t>- 16/18 - A/3048/2024</w:t>
      </w:r>
    </w:p>
    <w:p>
      <w:r>
        <w:rPr>
          <w:b/>
        </w:rPr>
        <w:t>E. 17</w:t>
      </w:r>
    </w:p>
    <w:p>
      <w:r>
        <w:t>En l’espèce, la recourante ne conteste pas avoir réalisé des travaux sans autorisation et ainsi avoir mis l’autorité devant le fait accompli. Il ressort des pièces au dossier que le département a effectivement œuvré avec la recourante afin que la situation soit régularisée. Aussi, contrairement à ce que soutient la recourante, force est de constater que le département a tenu compte des circonstances ayant occasionné des retards dès lors qu’il a prolongé à plusieurs reprises les délais initialement fixés, notamment les 6 mai et 28 septembre 2022. Par ailleurs au moment où la DD 6______ a été obtenue, le département a imparti un délai initial de trois mois, lequel a été prolongée, à la demande de la recourante, pour une durée de six mois. Malgré cette prolongation, la recourante ne s’est pas exécutée et une première amende a été prononcée. Malgré un nouveau délai pour s’exécuter, elle s’est vu infliger une deuxième amende le ______ 2024. Force est ainsi de constater que malgré les prolongations successives accordées, la recourante n’a pas finalisé le permis d’occuper dans le délai imparti, le département ayant mis en évidence lors de la visite du 19 juin 2024 que la recourant ne s’était pas conformée aux ordres lui ayant été imposés, lesquels correspondaient aux exigences de l’autorisation de construire délivrée. En agissant de la sorte, conformément à la jurisprudence rappelée ci-dessus, le département n’a pas excédé son pouvoir d’appréciation en retenant que la recourante a effectivement commis une faute en ne se conformant pas à ses ordres et aux conditions de l’autorisation de construire délivrée. À cela s’ajoute que contrairement à ce que soutient la recourante, l’exploitation d’un salon de massage au 2ème étage relève d’un changement d’affectation qui aurait dû faire l’objet d’une autorisation de construire, de sorte que celle-ci a commis une faute déjà en n’exécutant pas l’autorisation de construire selon les plans visés ne varietur. Au vu de ce qui précède, le tribunal retiendra que l’amende est justifiée dans son principe.</w:t>
      </w:r>
    </w:p>
    <w:p>
      <w:r>
        <w:rPr>
          <w:b/>
        </w:rPr>
        <w:t>E. 18</w:t>
      </w:r>
    </w:p>
    <w:p>
      <w:r>
        <w:t>La recourante conteste également la quotité de l’amende qu’elle considère disproportionnée. La recourante ne saurait être suivie. En effet, comme rappelé ci- dessus, les deux premières amendes prononcées ne l’ont manifestement pas amenée à respecter les ordres du département. Force est ainsi de constater, comme l’a fait le département, qu’en dépit des assurances données, l’entièreté des travaux n’avait pas été réalisé presque un an après le délai initialement imparti à la recourante pour ce faire. La recourante allègue encore que la quotité de l’amende serait disproportionnée au motif que tous les points de l’autorisation avaient été exécutés, à l’exception de deux éléments mineurs. Là encore, elle ne saurait être suivie. En effet, les serrures anti-panique relèvent des prescriptions en matière de sécurité incendie et ne sauraient ainsi être qualifiées d’éléments mineurs. Bien au contraire, comme l’a à juste titre retenu le département, le fait de ne pas respecter des ordres relatifs à mise</w:t>
      </w:r>
    </w:p>
    <w:p>
      <w:r>
        <w:t>- 17/18 - A/3048/2024 en conformité de prescriptions en matière de sécurité incendie ajoute à la gravité de la faute de la recourante. Au vu de ce qui précède, la quotité de l’amende, proportionnée et apte à sanctionner le comportement illicite et répété de la recourante, sera confirmée.</w:t>
      </w:r>
    </w:p>
    <w:p>
      <w:r>
        <w:rPr>
          <w:b/>
        </w:rPr>
        <w:t>E. 19</w:t>
      </w:r>
    </w:p>
    <w:p>
      <w:r>
        <w:t>Entièrement mal fondé, le recours sera rejeté.</w:t>
      </w:r>
    </w:p>
    <w:p>
      <w:r>
        <w:rPr>
          <w:b/>
        </w:rPr>
        <w:t>E. 20</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lui sera allouée (art. 87 al. 2 LPA).</w:t>
      </w:r>
    </w:p>
    <w:p>
      <w:r>
        <w:t>- 18/18 - A/3048/2024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