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JTAPI/60/2024 vom 25. Januar 2024</w:t>
      </w:r>
    </w:p>
    <w:p>
      <w:r>
        <w:t>GE Cour de justice, 2024-01-25, FR</w:t>
      </w:r>
    </w:p>
    <w:p>
      <w:r>
        <w:rPr>
          <w:b/>
        </w:rPr>
        <w:t xml:space="preserve">Quelle: </w:t>
      </w:r>
      <w:r>
        <w:t>https://mcp.opencaselaw.ch/entscheid/ge_gerichte_JTAPI_60_2024</w:t>
      </w:r>
    </w:p>
    <w:p>
      <w:r>
        <w:t>FR: GE_GERICHTE JTAPI/60/2024 du 25 janvier 2024</w:t>
      </w:r>
    </w:p>
    <w:p>
      <w:r>
        <w:t>IT: GE_GERICHTE JTAPI/60/2024 del 25 gennaio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t>- 8/20 - A/1806/2023</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(ATA/905/2022 du 6 septembre 2022 consid. 3b; ATA/186/2019 du 26 février 2019 consid. 3 ; ATA/1159/2018 du 30 octobre 2018 consid. 4a).</w:t>
      </w:r>
    </w:p>
    <w:p>
      <w:r>
        <w:rPr>
          <w:b/>
        </w:rPr>
        <w:t>E. 4</w:t>
      </w:r>
    </w:p>
    <w:p>
      <w:r>
        <w:t>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 ATA/905/2022 précité consid. 3d).</w:t>
      </w:r>
    </w:p>
    <w:p>
      <w:r>
        <w:rPr>
          <w:b/>
        </w:rPr>
        <w:t>E. 5</w:t>
      </w:r>
    </w:p>
    <w:p>
      <w:r>
        <w:t>On pourrait se poser la question ici de l'intérêt actuel au recours puisque l'installation litigieuse a déjà été démontée et que malgré le fait que le tribunal de céans avait rendu un jugement de principe le 8 décembre 2022 concernant la précédente autorisation de construire du 9 mai 2022, la commune de A______ a de nouveau recouru contre la nouvelle autorisation de construire délivrée le 17 mai 2023 ; de plus, il semble plus que probable qu'elle recourra également contre celle qui sera rendue en 2024 si elle consistait en la délivrance d'une nouvelle autorisation de construire. Toutefois, cette question souffrira de rester indécise au vu des considérants qui suivent.</w:t>
      </w:r>
    </w:p>
    <w:p>
      <w:r>
        <w:rPr>
          <w:b/>
        </w:rPr>
        <w:t>E. 6</w:t>
      </w:r>
    </w:p>
    <w:p>
      <w:r>
        <w:t>La recourante estime en premier lieu que l'instruction du dossier est lacunaire. La version n° 2 des plans présentée à la Police du feu n'avait pas été soumise aux autres instances de préavis, en particulier le SMS qui accordait une grande importance à l'esthétique et à l'intégration au site, qualifié d'exceptionnel, alors même que la façade face au lac avait été entièrement modifiée (« façade vitrée » devenue « bâches plastiques souples transparentes avec fermeture éclair »). Il en allait de même du SABRA. Plus grave encore, la CMNS n'avait pas été consultée</w:t>
      </w:r>
    </w:p>
    <w:p>
      <w:r>
        <w:t>- 9/20 - A/1806/2023 alors qu'au moins trois lois rendaient sa consultation obligatoire. La décision était également contradictoire avec les préavis émis, la décision querellée faisant expressément référence à la version n° 2 des plans alors que les plans visés correspondaient à la première version. Outre l'incohérence flagrante entre les préavis et les plans, vu les éléments relevés par la Police du feu dans ses préavis, il existait un risque sérieux en cas d'incendie nécessitant une évacuation rapide de la clientèle par cette façade indiquée comme "sortie de secours". A noter également que le projet autorisé en 2022 était soumis à la condition expresse de la CU que l'autorisation ne fût pas reconduite en 2023 et qu'il fallait élaborer un projet s'intégrant au site exceptionnel de la Rade. Or cette condition n'avait pas été respectée puisque le projet était similaire et toujours provisoire. De manière incompréhensible, la CU avait simplement repris les termes de son précédent préavis et en avait changé la date (2024). Enfin, l'office fédéral de l'environnement n'avait pas été consulté alors que le DT en avait l'obligation vu l'impact des nuisances sur la zone de réserve naturelle d'importance nationale à proximité du projet.</w:t>
      </w:r>
    </w:p>
    <w:p>
      <w:r>
        <w:rPr>
          <w:b/>
        </w:rPr>
        <w:t>E. 7</w:t>
      </w:r>
    </w:p>
    <w:p>
      <w:r>
        <w:t>A l'instar du DT, on ne voit pas en quoi les modifications apportées, à la demande de la police du feu pour la sécurité incendie, auraient dû faire l'objet d'une analyse des autres instances, notamment du SMS qui, dans son préavis du 30 janvier 2023, n'a exprimé aucune exigence pour la matérialité des façades - que la vue 3D ne définit pas non plus -, ni pour les bâches. Il en va de même du SABRA pour qui l'existence ou non d'une façade côté lac, quelle que soit sa matérialité, est dépourvue de pertinence en matière de respect de l'OPB. Preuve en est encore que, comme cela sera développé ci-après, la recourante n'a pas pu démontrer que l'installation litigieuse, qui a bien été érigée durant l'été 2023, aurait occasionné des nuisances sonores.</w:t>
      </w:r>
    </w:p>
    <w:p>
      <w:r>
        <w:rPr>
          <w:b/>
        </w:rPr>
        <w:t>E. 8</w:t>
      </w:r>
    </w:p>
    <w:p>
      <w:r>
        <w:t>Selon l'art. 47 LPMNS, la commission des monuments, de la nature et des sites est consultative. Elle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Or la CMNS a déjà rendu un préavis lors du précédent projet soumis pour l'été 2022, soit le 28 mars 2022, et le préavis favorable du SMS du 30 janvier 2023 se réfère expressément au préavis de la CMNS du 28 mars 2022 rendu dans l'autorisation de construire DD 3______en motivant sa position par le fait que « le projet est quasi identique à celui de l'année précédente ». Contrairement à ce que soutient la recourante dans sa réplique, les légères modifications apportées à la construction litigieuse ne nécessitaient manifestement pas de consulter la CMNS à nouveau. Aussi, ce grief doit également être rejeté. Si la décision querellée fait effectivement référence à la version n° 2 des plans alors que les plans visés (plan de la cuisine/plan d'ensemble/plan de la terrasse couverte</w:t>
      </w:r>
    </w:p>
    <w:p>
      <w:r>
        <w:t>- 10/20 - A/1806/2023 /plan de la terrasse non couverte) correspondaient à la première version, on ne voit pas en quoi cela prête à conséquence, la recourante n'en tirant d'ailleurs aucune conclusion, étant précisé encore que le contenu de l'autorisation de construire prime sur les plans visés ne varietur.</w:t>
      </w:r>
    </w:p>
    <w:p>
      <w:r>
        <w:rPr>
          <w:b/>
        </w:rPr>
        <w:t>E. 9</w:t>
      </w:r>
    </w:p>
    <w:p>
      <w:r>
        <w:t>Enfin, si dans son ancien préavis du 1er avril 2022, la CU avait effectivement soumis à condition que l'autorisation ne soit pas reconduite en 2023 et que soit élaboré à la place un projet pour les années à venir qui s'intègre au caractère exceptionnel de la Rade et qu'elle est revenue sur ce préavis dans le cadre du présent projet, on ne voit pas non plus quelle conclusion juridique ou violation de la loi la recourante en tire. Aucune prescription n'interdit en effet aux instances de préavis de changer d'avis ou les termes de leurs conditions, dans le respect des dispositions du droit des constructions et des principes généraux du droit administratif. Aucun élément au dossier ne permet en réalité de retenir que les instances préavisées n'auraient pas examiné de façon attentive la requête d'autorisation de construire.</w:t>
      </w:r>
    </w:p>
    <w:p>
      <w:r>
        <w:rPr>
          <w:b/>
        </w:rPr>
        <w:t>E. 10</w:t>
      </w:r>
    </w:p>
    <w:p>
      <w:r>
        <w:t>Le grief sera donc écarté.</w:t>
      </w:r>
    </w:p>
    <w:p>
      <w:r>
        <w:rPr>
          <w:b/>
        </w:rPr>
        <w:t>E. 11</w:t>
      </w:r>
    </w:p>
    <w:p>
      <w:r>
        <w:t>La recourante invoque ensuite une violation de l’OROEM et de la LChP.</w:t>
      </w:r>
    </w:p>
    <w:p>
      <w:r>
        <w:rPr>
          <w:b/>
        </w:rPr>
        <w:t>E. 12</w:t>
      </w:r>
    </w:p>
    <w:p>
      <w:r>
        <w:t>Comme la chambre administrative a eu l'occasion de le relever (ATA/6______ consid. 5), « la parcelle concernée par le projet n’est pas située dans une réserve mais à côté de la réserve F______, d’une surface de 635.4 ha. Plus précisément, elle côtoie la partie III de la réserve, dans laquelle, la chasse est interdite mais où il n’y a pas de restrictions pour la navigation (https://www.bafu.admin.ch/bafu/fr/ home/themes/biodiversite/info-specialistes/infrastructure-ecologique/reserves-d- oiseaux-d-eau-et-de-migrateurs.html). (…). La construction n’est pas prévue à l’intérieur de la réserve et rien dans les dispositions légales citées ne permet de retenir que la protection prévue, tant par l’OROEM que par la LChP, s’appliquent à l’extérieur du périmètre des réserves ». Comme la recourante l'admet, l'installation n'est pas située dans la zone régie par l'OROEM. Il n'est pas non possible de suivre la recourante lorsqu'elle soutient que ce sont les conséquences du projet (et non seulement son implantation en limite de zone protégée), en particulier le bruit et l'agitation qui en découleraient, qui en justifieraient d'en contrôler la conformité à ces deux lois, ce d'autant que comme on le verra encore après, elle n'a pas été en mesure de démontrer l'existences des gênes qu'elle allègue. Pour les mêmes raisons, le grief relatif à l'absence de consultation de l'OFEV est dénué de pertinence. Le grief sera donc écarté.</w:t>
      </w:r>
    </w:p>
    <w:p>
      <w:r>
        <w:rPr>
          <w:b/>
        </w:rPr>
        <w:t>E. 13</w:t>
      </w:r>
    </w:p>
    <w:p>
      <w:r>
        <w:t>La recourante estime également que le projet viole les art. 15 LEaux-GE, 41c OEaux, l'art. 13 LPRLac et 5 RPMNS en l'absence de consultation de la CMNS.</w:t>
      </w:r>
    </w:p>
    <w:p>
      <w:r>
        <w:t>- 11/20 - A/1806/2023 Dans la pesée des intérêts, l'éventuel intérêt de la population à disposer d'un bar- restaurant provisoire devait céder le pas face à l'intérêt public du respect des particularités de cette zone de verdure, destinée à la pratique des activités nautiques, et à proximité d'une réserve naturelle. Les conditions d'une dérogation n'étaient ainsi manifestement pas remplies</w:t>
      </w:r>
    </w:p>
    <w:p>
      <w:r>
        <w:rPr>
          <w:b/>
        </w:rPr>
        <w:t>E. 14</w:t>
      </w:r>
    </w:p>
    <w:p>
      <w:r>
        <w:t>La LPRLac a pour sa part pour but de protéger les rives du lac et les zones sensibles voisines ainsi que de faciliter des accès publics aux rives du lac en des lieux appropriés dans la mesure où il n'est pas porté atteinte à des milieux naturels dignes de protection (art. 1 al. 1 LPRLac). Par rive du lac, on entend la partie terrestre riveraine et la partie aquatique délimitée par la zone littorale effective (art. 1 al. 2 LPRLac). L'art. 2 al. 1 LPRLac précise que le périmètre du territoire à protéger, délimité en l'occurrence par le plan n°7______, constitue une zone à protéger au sens de l'art.</w:t>
      </w:r>
    </w:p>
    <w:p>
      <w:r>
        <w:rPr>
          <w:b/>
        </w:rPr>
        <w:t>E. 17</w:t>
      </w:r>
    </w:p>
    <w:p>
      <w:r>
        <w:t>Selon l'art. 15 LEaux-GE, intitulé « surfaces inconstructibles », aucune construction ou installation, tant en sous-sol qu'en élévation, ne peut être édifiée à une distance</w:t>
      </w:r>
    </w:p>
    <w:p>
      <w:r>
        <w:t>- 12/20 - A/1806/2023 de moins de 10, 30 ou 50 m de la limite du cours d'eau, selon la carte des surfaces inconstructibles annexée (al. 1). Toutefois, dans le cadre de projets de construction, le département peut accorder des dérogations, pour autant que celles-ci ne portent pas atteinte aux fonctions écologiques du cours d'eau et de ses rives ou à la sécurité des personnes et des biens,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et de la CMNS (al. 4) ; elles peuvent être assorties de charges ou conditions (al. 5).</w:t>
      </w:r>
    </w:p>
    <w:p>
      <w:r>
        <w:rPr>
          <w:b/>
        </w:rPr>
        <w:t>E. 18</w:t>
      </w:r>
    </w:p>
    <w:p>
      <w:r>
        <w:t>Quant à l'art. 41c OEaux, il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notamment les parties d'installations servant au prélèvement d'eau ou au déversement d'eau dont l'implantation est imposée par leur destination (let. c). Cette marge de manœuvre permet une urbanisation à l’intérieur du milieu bâti et une concentration urbaine souhaitable en termes d’aménagement du territoire (p. ex. pour éviter le mitage du milieu bâti) (Rapport explicatif de l’office fédéral de l’environnement du 20 avril 2011 ad art. 41c p. 15).</w:t>
      </w:r>
    </w:p>
    <w:p>
      <w:r>
        <w:rPr>
          <w:b/>
        </w:rPr>
        <w:t>E. 19</w:t>
      </w:r>
    </w:p>
    <w:p>
      <w:r>
        <w:t>Selon l'art. 5 RPMNS invoqué par la recourante, la CMNS a pour mission de conseiller l’autorité compétente (al. 1). Elle a principalement les attributions suivantes : donner son préavis sur tout projet de travaux concernant un immeuble situé en zone protégée, sous réserve de l'alinéa 5 du présent article (let. e); (…); donner son préavis sur tout projet de travaux concernant un immeuble situé dans le périmètre d'un plan de site, sous réserve de l'alinéa 5 du présent article (let. g).</w:t>
      </w:r>
    </w:p>
    <w:p>
      <w:r>
        <w:rPr>
          <w:b/>
        </w:rPr>
        <w:t>E. 20</w:t>
      </w:r>
    </w:p>
    <w:p>
      <w:r>
        <w:t>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(ATA/1261/2022 du 13 décembre 2022 consid. 4d ; ATA/807/2020 du 25 août 2020 consid. 9a). L'autorité administrative jouit d'un large pouvoir d’appréciation dans l’octroi de dérogations. Cependant, celles-ci ne peuvent être accordées ni refusées d'une</w:t>
      </w:r>
    </w:p>
    <w:p>
      <w:r>
        <w:t>- 13/20 - A/1806/2023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(ATA/665/2023 du 20 juin 2023 consid. 4.10 ; ATA/639/2020 du 30 juin 2020 consid. 4d).</w:t>
      </w:r>
    </w:p>
    <w:p>
      <w:r>
        <w:rPr>
          <w:b/>
        </w:rPr>
        <w:t>E. 21</w:t>
      </w:r>
    </w:p>
    <w:p>
      <w:r>
        <w:t>Selon la doctrine, l'ensemble des avis exprimés par les divers services concernés ne constitue pas une pesée complète des intérêts ; c'est à l'autorité compétente de pondérer et d'évaluer les intérêts déterminants (Rudolf MUGGLI, dans : Heinz AEMISEGGER/Pierre MOOR/Alexander RUCH/Pierre TSCHANNEN [éd.], Commentaire pratique LAT : Construire hors zone à bâtir, 2017, ad art. 24 n° 15). Par ailleurs, de jurisprudence constante, un préavis favorable n'a pas à être motivé (cf. ATA/123/2018 du 6 février 2018 consid. 5 ; ATA/414/2017 du 11 avril 2017 consid. 7b, confirmé par l'arrêt du Tribunal fédéral 1C_297/2017 du 6 décembre 2017).</w:t>
      </w:r>
    </w:p>
    <w:p>
      <w:r>
        <w:rPr>
          <w:b/>
        </w:rPr>
        <w:t>E. 22</w:t>
      </w:r>
    </w:p>
    <w:p>
      <w:r>
        <w:t>En l'espèce, quant au fait que la parcelle est située en zone protégée au sens de la LPRLac, tant l'OCEau, le SMS que l'OCAN et la CU se sont prononcés favorablement au projet, ce qui démontre qu'il ne porte pas atteinte à cette zone. Par ailleurs, l'OCeau a expressément visé la dérogation prévue par l'art. 41c al. 1 OEaux. Contrairement à ce que soutient la recourante, et comme vu ci-devant, la CMNS a déjà été consultée « au moins une première fois » dans le cadre de l'autorisation de construire de 2022, conformément à l'art. 47 LPMNS, de sorte que la délégation de compétence de la CMNS au SMS était possible. Par ailleurs, dans son préavis du 30 janvier 2023, la SMS s'est référé au préavis de la CMNS du 28 mars 2022 rendu dans l'autorisation de construire DD 3______en tant que le projet était quasi identique à celui de l'année précédente. Dans l'ancien jugement, le tribunal a déjà eu l'occasion de retenir que l'analyse du projet par la CMNS n'apparaissait pas contestable et avait été effectuée aux termes d'une instruction complète - la recourante n'essayant que de substituer sa propre appréciation à celle de cette instance spécialisée à cet égard. Le département pouvait parfaitement, conformément à son pouvoir d'appréciation, se fonder sur ce préavis imposé par la loi, malgré le préavis défavorable de la</w:t>
      </w:r>
    </w:p>
    <w:p>
      <w:r>
        <w:t>- 14/20 - A/1806/2023 commune, A cela s'ajoute le fait que l'autorisation n'a été délivrée que pour cinq mois et qu'aucun danger pour la sécurité ou pour les fonctions écologiques des rives du lac n'a été mis en évidence par les différents services appelés à se prononcer sur le projet. La recourante n'en a pas non plus relevé.</w:t>
      </w:r>
    </w:p>
    <w:p>
      <w:r>
        <w:rPr>
          <w:b/>
        </w:rPr>
        <w:t>E. 23</w:t>
      </w:r>
    </w:p>
    <w:p>
      <w:r>
        <w:t>Par ailleurs, le café-restaurant litigieux revêt indéniablement un intérêt public, contrairement à ce que soutient la recourante, à ce que la population genevoise puisse bénéficier, durant les soirées d'été, d'un café-restaurant au bord du lac, des établissements étant ouverts le soir étant rares autour du lac à Genève. Comme l'ATA/6______ l'a relevé au consid. 3.9 : « C’est sans succès également que la recourante tente de mettre en doute le fait que, malgré le lac qui borde le canton, Genève compte très peu de restaurants au ras de l’eau, comme cela avait déjà été constaté (ATA/215/2007 du 9 mai 2007). À cet égard, la recourante échoue à prouver le contraire en produisant un plan indiquant les établissements de restauration sis à proximité de la Rade, mais pas au bord même de l’eau et ne citant qu’un établissement, G______, ouvert à l’année et aménagé au bout de H______. Il faut donc retenir que l’intérêt public à la construction provisoire de cet établissement, qui permet à la population genevoise de bénéficier d’un café- restaurant au bord du lac, reste indéniable, comme c’est toujours le cas pour les différentes infrastructures prévues, en été, pour se délasser en plein air au bord du lac, tels les pavillons glacier et les pergolas installés sur la rade (ATA/644/2016 du</w:t>
      </w:r>
    </w:p>
    <w:p>
      <w:r>
        <w:rPr>
          <w:b/>
        </w:rPr>
        <w:t>E. 26</w:t>
      </w:r>
    </w:p>
    <w:p>
      <w:r>
        <w:t>Il n'est pas contesté que les habitations à proximité du projet se situent en degré de sensibilité II ni que les valeurs de référence y relatives doivent être respectées s'agissant du projet en question. Toutefois, le SABRA, qui est le service spécialisé en matière de protection contre le bruit, a préavisé favorablement le projet, sous conditions, qui fait partie intégrante de l'autorisation de construire, de l'interdiction de la musique dès 22h00. Par ailleurs, contrairement à ce que soutient la recourante, ce n'est pas parce que l'interdiction de sonorisation n'avait pas été respectée en 2022 et que l'intimée a commis des infractions à cet égard que le DT ne pourrait pas autoriser cette année le projet querellé, cette fois avec de la « musique » jusqu'à 22h00, l'autorité intimée étant tenue de délivrer l'autorisation de construire conformément à l'art. 1 al. 6 LCI si les conditions légales de sa délivrance sont réalisées, à savoir si les normes relatives au droit de la construction sont respectées. Pour le même motif, on ne saurait retenir que le préavis du SABRA s'inscrirait en « totale contradiction » avec son précédent préavis et avec les documents figurant dans l'autorisation de construire, de sorte que l'argumentation de la recourante relative à cette étude tombe à faux. Il ressort de ce qui précède que la recourante n'a pas apporté la preuve d'une violation de l'OPB ou d'une évaluation erronée de la part de l'instance spécialisée sur cet aspect du projet. Pour les mêmes raisons, elle n'a pas démontré que le SABRA aurait dû solliciter une étude acoustique actualisée pour se prononcer en toute connaissance de cause ni une violation du principe de prévention.</w:t>
      </w:r>
    </w:p>
    <w:p>
      <w:r>
        <w:rPr>
          <w:b/>
        </w:rPr>
        <w:t>E. 27</w:t>
      </w:r>
    </w:p>
    <w:p>
      <w:r>
        <w:t>Partant, ce grief doit également être écarté.</w:t>
      </w:r>
    </w:p>
    <w:p>
      <w:r>
        <w:rPr>
          <w:b/>
        </w:rPr>
        <w:t>E. 28</w:t>
      </w:r>
    </w:p>
    <w:p>
      <w:r>
        <w:t>La recourante se prévaut encore d'une violation des art. 142 RCI, 6 et 12 RACI.</w:t>
      </w:r>
    </w:p>
    <w:p>
      <w:r>
        <w:rPr>
          <w:b/>
        </w:rPr>
        <w:t>E. 29</w:t>
      </w:r>
    </w:p>
    <w:p>
      <w:r>
        <w:t>Selon l'art. 142 RCI, les locaux au sens de la présente section sont ceux pouvant accueillir plus de 100 personnes, notamment les salles polyvalentes, les salles de sport, les halles d'exposition, les théâtres, les cinémas, les restaurants, et locaux similaires. L'art. 144 RCI let. b RCI prévoit que les établissements pouvant contenir plus de 200 personnes doivent être pourvus de W.-C. séparés pour hommes et femmes et d’urinoirs en nombre suffisant; il doit y avoir au minimum 2 W.-C. pour femmes, 1 W.-C. pour hommes et 3 urinoirs.</w:t>
      </w:r>
    </w:p>
    <w:p>
      <w:r>
        <w:t>- 16/20 - A/1806/2023</w:t>
      </w:r>
    </w:p>
    <w:p>
      <w:r>
        <w:rPr>
          <w:b/>
        </w:rPr>
        <w:t>E. 30</w:t>
      </w:r>
    </w:p>
    <w:p>
      <w:r>
        <w:t>A teneur de l'art. 109 LCI, les constructions et installations, de même que leurs abords, doivent être conçus et aménagés de manière à en permettre l’accès et l’utilisation par tous les usagers, y compris ceux qui éprouvent des difficultés à s’orienter, à se mouvoir ou à communiquer (al. 1). Le département peut déroger aux prescriptions du présent article si leur stricte application alternativement : entraîne des mesures disproportionnées en fonction de leur coût ou de leur utilité (let. a) ; se heurte à des obstacles techniques trop importants (let. b) ; est incompatible avec des impératifs liés à la protection de l’environnement, de la nature ou du patrimoine bâti (let. c) ; est de nature à compromettre les qualités d'usage ou spatiale d'un logement, alors que son utilisation par des personnes en situation de handicap demeure possible (let. d). Les demandes de dérogation doivent être motivées.</w:t>
      </w:r>
    </w:p>
    <w:p>
      <w:r>
        <w:rPr>
          <w:b/>
        </w:rPr>
        <w:t>E. 31</w:t>
      </w:r>
    </w:p>
    <w:p>
      <w:r>
        <w:t>Selon l'art. 2 al. 1 RACI, les nouvelles constructions et installations, de même que leurs abords, doivent être conçus et aménagés de manière à les rendre accessibles et utilisables par tous les usagers, y compris ceux qui éprouvent des difficultés à s’orienter, à se mouvoir ou à communiquer. L'art. 6 RACI prévoit que la pente des rampes doit être aussi faible que possible mais ne peut dépasser, en tous les cas, 6%. Exceptionnellement, une dérogation peut être admise jusqu'à une pente maximum de 9%, pour une rampe d’une longueur totale de 10 m, ou de 12% pour une rampe d’une longueur totale de 5 m. Les rampes doivent avoir une largeur de 1,20 m au minimum et leur revêtement doit assurer une bonne adhérence (al. 1). Un dégagement horizontal de 1,40 m x 1,40 m au moins doit être aménagé à chaque extrémité de la rampe, à chaque changement de direction de plus de 45° et devant les portes, pour que la personne en fauteuil roulant puisse manœuvrer. Si la porte s’ouvre à l’extérieur, la largeur ou la longueur du palier doit être augmentée de 0,30 m au minimum (al. 2). Les rampes doivent être dotées d’une main courante d’un profil facile à saisir et placée à une hauteur de 1 m. Les rampes d’une largeur de plus de 1,50 m doivent être dotées de deux mains courantes (al. 3). Enfin, selon 12 RACI, dans les groupes de WC, l'une des cabines au moins doit être praticable en fauteuil roulant. Ses dimensions doivent être de 1,65 m x 1,80 m au minimum. La porte doit s’ouvrir vers l’extérieur. Au cas où la porte s'ouvre à l'intérieur, la profondeur ou la largeur du local doit être augmentée de 0,50 m au moins 8l. 1). La disposition des appareils et des accessoires doit être conforme à la norme SIA 500 (al. 2). Dans les installations de sport notamment, l’accessibilité en fauteuil roulant des douches et des vestiaires doit être assurée (al. 3)</w:t>
      </w:r>
    </w:p>
    <w:p>
      <w:r>
        <w:rPr>
          <w:b/>
        </w:rPr>
        <w:t>E. 32</w:t>
      </w:r>
    </w:p>
    <w:p>
      <w:r>
        <w:t>En l'espèce, le nombre de WC qui était prévu dans le projet querellé est conforme à l'art. 142 RCI précité et conformément à l'art.156 RCI, l'autorité intimée pouvait, comme elle l'a allégué, ne pas considérer la présence d'urinoirs nécessaire pour une installation provisoire. S'agissant de l'absence de séparation de WC hommes- femmes, ce grief n'est manifestement pas recevable en tant que la recourante n'est pas directement affectée par cette problématique et qu'il s'agit de dispositions</w:t>
      </w:r>
    </w:p>
    <w:p>
      <w:r>
        <w:t>- 17/20 - A/1806/2023 édictées dans l’intérêt général (cf. ATF 144 I 43 consid. 2.1 ; arrêt du Tribunal fédéral 1C_442/2020 du 4 mars 2021 consid. 1.2.1 ; ATA/1755/2019 du 3 décembre 2019 consid. 3c et les références citées). Enfin, malgré ses affirmations, la recourante n'a en tout état pas démontré que la clientèle de l'établissement aurait souillé l'espace public ou aurait importuné les utilisateurs le temps où l'installation était ouverte durant l'été 2023. Partant, ce grief, dans la mesure de sa recevabilité, devra de toute façon être écarté.</w:t>
      </w:r>
    </w:p>
    <w:p>
      <w:r>
        <w:rPr>
          <w:b/>
        </w:rPr>
        <w:t>E. 33</w:t>
      </w:r>
    </w:p>
    <w:p>
      <w:r>
        <w:t>Enfin, comme l'autorité intimée le concède, la pente de l'une des rampes excède légèrement les 6% fixés par l'art. 6 al. 1 RACI précité, puisqu'elle est de 6.75%. Toutefois, cette disposition prévoit la possibilité de déroger à ce pourcentage et la pente se situe plus près du pourcentage ordinaire que de celui dérogatoire, l'on ne peut reprocher au département un excès de son pouvoir d'appréciation à cet égard. Quant à la largeur de la rampe, contrairement à ce que soutient la recourante, elle respecte la largeur d'1.20 m comme exigé par le premier préavis de la Police du feu et prévu par la version 2 du projet et les plans y relatifs du 29 mars 2023. Partant, les griefs de violation des art. 6 et 12 RACI devront également être écartés.</w:t>
      </w:r>
    </w:p>
    <w:p>
      <w:r>
        <w:rPr>
          <w:b/>
        </w:rPr>
        <w:t>E. 34</w:t>
      </w:r>
    </w:p>
    <w:p>
      <w:r>
        <w:t>À teneur de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 ; cf. aussi l'art. 1 al. 1 let. a LCI, qui prévoit que nul ne peut, sur tout le territoire du canton, sans y avoir été autorisé, élever en tout ou partie une construction ou une installation). En dérogation à l'art. 22 al. 2 let. a LAT, l'art. 24 LAT prévoit que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w:t>
      </w:r>
    </w:p>
    <w:p>
      <w:r>
        <w:rPr>
          <w:b/>
        </w:rPr>
        <w:t>E. 35</w:t>
      </w:r>
    </w:p>
    <w:p>
      <w:r>
        <w:t>Sur le plan cantonal, la LaLAT prévoit que l'ensemble du territoire cantonal est subdivisé en 3 types de zones, à savoir les zones ordinaires, les zones de développement et les zones protégées (art. 12 al. 1 et 2 LaLAT). Selon l'art. 24 LaLAT, la zone de verdure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w:t>
      </w:r>
    </w:p>
    <w:p>
      <w:r>
        <w:t>- 18/20 - A/1806/2023 publique dont l’emplacement est imposé par leur destination, et des exploitations agricoles (al. 3).</w:t>
      </w:r>
    </w:p>
    <w:p>
      <w:r>
        <w:rPr>
          <w:b/>
        </w:rPr>
        <w:t>E. 36</w:t>
      </w:r>
    </w:p>
    <w:p>
      <w:r>
        <w:t>S'agissant du respect de l'affectation de la zone de verdure, le DT a suivi le préavis favorable - et au demeurant non contesté par la recourante - de l'instance de préavis compétente, à savoir la CU, qui a ainsi considéré que l'installation querellée ne posait pas d'inconvénient en lien avec cette affectation, étant précisé que la jurisprudence a déjà eu l'occasion de confirmer que des constructions qui répondent à l'objectif de délassement sont conformes à la destination de la zone de verdure (ATA/86/2015 du 20 janvier 2015 consid. 6b). Le fait que cet arrêt portait sur des installations "modestes" n'y change rien car c'est sa vocation qui est pertinente ici. A l'instar de l'autorité intimée, il convient encore de relever que le fait que le plan de zone n° 27'621-516 prévoit expressément une zone de verdure avec « mention sportive » n'est non plus d'aucun secours à la recourante puisque l'affectation principale est respectée. S’agissant de la conformité du projet avec l’affectation de la zone, le préavis de la CU est favorable et la jurisprudence a déjà eu l’occasion de confirmer que les constructions répondant à l’objectif de délassement étaient conformes à la destination de la zone de verdure (arrêt du Tribunal fédéral 1A.232/2000 du 29 mars 2001 consid. 3e ; ATA/86/2015 du 20 janvier 2015 consid. 6b). Le grief relatif à l'art. 14 LaLAT sera donc également écarté.</w:t>
      </w:r>
    </w:p>
    <w:p>
      <w:r>
        <w:rPr>
          <w:b/>
        </w:rPr>
        <w:t>E. 37</w:t>
      </w:r>
    </w:p>
    <w:p>
      <w:r>
        <w:t>Selon l'art. 14 al. 1 LCI, le département peut refuser les autorisations prévues à l'art. 1 lorsqu'une construction ou une installation, notamment, peut être la cause d'inconvénients graves pour les usagers, le voisinage ou le public (let. a) ou ne remplit pas des conditions de sécurité et de salubrité suffisantes à l'égard des voisins ou du public (let. c) ou peut créer, par sa nature, sa situation ou le trafic que provoque sa destination ou son exploitation, un danger ou une gêne durable pour la circulation (let. e).</w:t>
      </w:r>
    </w:p>
    <w:p>
      <w:r>
        <w:rPr>
          <w:b/>
        </w:rPr>
        <w:t>E. 38</w:t>
      </w:r>
    </w:p>
    <w:p>
      <w:r>
        <w:t>Selon la jurisprudence constante, l'art. 14 LCI fait partie des normes de protection destinées à sauvegarder les particularités de chaque zone, en prohibant les inconvénients incompatibles avec le caractère d'une zone déterminée. Il ne vise pas au premier chef à protéger l'intérêt des voisins (ATA/335/2010 du 18 mai 2010 consid. 7). La notion d'inconvénients graves est une norme juridique indéterminée, qui doit s'examiner en fonction de la nature de l'activité en cause et qui laisse à l'autorité une liberté d'appréciation. Celle-ci n'est limitée que par l'excès ou l'abus du pouvoir d'appréciation (ATA/926/2016 du 1er novembre 2016 ; ATA/126/2013 du 26 février 2013).</w:t>
      </w:r>
    </w:p>
    <w:p>
      <w:r>
        <w:rPr>
          <w:b/>
        </w:rPr>
        <w:t>E. 39</w:t>
      </w:r>
    </w:p>
    <w:p>
      <w:r>
        <w:t>Au vu de tous les éléments qui précèdent, il faut aussi admettre que le projet n'induira pas d'inconvénients graves ou durables en raison des "nuisances sonores"</w:t>
      </w:r>
    </w:p>
    <w:p>
      <w:r>
        <w:t>- 19/20 - A/1806/2023 ou du "manque de sécurité" pour les usagers à mobilité réduite au sens de l'art. 14 LCI.</w:t>
      </w:r>
    </w:p>
    <w:p>
      <w:r>
        <w:rPr>
          <w:b/>
        </w:rPr>
        <w:t>E. 40</w:t>
      </w:r>
    </w:p>
    <w:p>
      <w:r>
        <w:t>Ce dernier grief sera donc également écarté.</w:t>
      </w:r>
    </w:p>
    <w:p>
      <w:r>
        <w:rPr>
          <w:b/>
        </w:rPr>
        <w:t>E. 41</w:t>
      </w:r>
    </w:p>
    <w:p>
      <w:r>
        <w:t>En tous points infondés, le recours doit être rejeté.</w:t>
      </w:r>
    </w:p>
    <w:p>
      <w:r>
        <w:rPr>
          <w:b/>
        </w:rPr>
        <w:t>E. 42</w:t>
      </w:r>
    </w:p>
    <w:p>
      <w:r>
        <w:t>En application des art. 87 al. 1 LPA et 1 et 2 du règlement sur les frais, émoluments et indemnités en procédure administrative du 30 juillet 1986 (RFPA - E 5 10.03), la recourante, qui succombe sur mesures superprovisionnelles et sur le fond de la procédure, est condamnée au paiement d'un émolument s'élevant à CHF 2'000.- ; il est partiellement couvert par l'avance de frais de CHF 900.- versée à la suite du dépôt du recours. Vu l'issue du litige, une indemnité de procédure de CHF 2'400.-, à la charge de la recourante, sera allouée à l'intimée (art. 87 al. 2 à 4 LPA et 6 RFPA).</w:t>
      </w:r>
    </w:p>
    <w:p>
      <w:r>
        <w:t>- 20/20 - A/1806/2023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