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JTAPI/60/2022 vom 25. Januar 2022</w:t>
      </w:r>
    </w:p>
    <w:p>
      <w:r>
        <w:t>GE Cour de justice, 2022-01-25, FR</w:t>
      </w:r>
    </w:p>
    <w:p>
      <w:r>
        <w:rPr>
          <w:b/>
        </w:rPr>
        <w:t xml:space="preserve">Quelle: </w:t>
      </w:r>
      <w:r>
        <w:t>https://mcp.opencaselaw.ch/entscheid/ge_gerichte_JTAPI_60_2022</w:t>
      </w:r>
    </w:p>
    <w:p>
      <w:r>
        <w:t>FR: GE_GERICHTE JTAPI/60/2022 du 25 janvier 2022</w:t>
      </w:r>
    </w:p>
    <w:p>
      <w:r>
        <w:t>IT: GE_GERICHTE JTAPI/60/2022 del 25 gennaio 2022</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LaLEtr).</w:t>
      </w:r>
    </w:p>
    <w:p>
      <w:r>
        <w:rPr>
          <w:b/>
        </w:rPr>
        <w:t>E. 2</w:t>
      </w:r>
    </w:p>
    <w:p>
      <w:r>
        <w:t>Statuant ce jour, le tribunal respecte en outre le délai de vingt jours courant dès sa saisine que lui impose l'art. 9 al. 1 let. b LaLEtr.</w:t>
      </w:r>
    </w:p>
    <w:p>
      <w:r>
        <w:rPr>
          <w:b/>
        </w:rPr>
        <w:t>E. 3</w:t>
      </w:r>
    </w:p>
    <w:p>
      <w:r>
        <w:t>L'opposition de M. A______ ayant été formée dans le délai de dix jours courant dès la notification de la mesure entreprise, elle est recevable sous l'angle de l'art. 8 al. 1 LaLEtr.</w:t>
      </w:r>
    </w:p>
    <w:p>
      <w:r>
        <w:rPr>
          <w:b/>
        </w:rPr>
        <w:t>E. 4</w:t>
      </w:r>
    </w:p>
    <w:p>
      <w:r>
        <w:t>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w:t>
      </w:r>
    </w:p>
    <w:p>
      <w:r>
        <w:rPr>
          <w:b/>
        </w:rPr>
        <w:t>E. 5</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rPr>
          <w:b/>
        </w:rPr>
        <w:t>E. 6</w:t>
      </w:r>
    </w:p>
    <w:p>
      <w:r>
        <w:t>Selon la jurisprudence du Tribunal fédéral, si le législateur a expressément fait référence aux infractions en lien avec le trafic de stupéfiants,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w:t>
      </w:r>
    </w:p>
    <w:p>
      <w:r>
        <w:rPr>
          <w:b/>
        </w:rPr>
        <w:t>E. 7</w:t>
      </w:r>
    </w:p>
    <w:p>
      <w:r>
        <w:t>S'agissant de ressortissants de l'Union européenne, la chambre administrative de la Cour de justice (ci-après: la chambre administrative) a récemment retenu (ATA/1294/2021 du 25 novembre 2021) que l'art. 5 de l'annexe I de l'Accord du 21 juin 1999 entre la Confédération suisse d'une part, et la Communauté</w:t>
      </w:r>
    </w:p>
    <w:p>
      <w:r>
        <w:t>- 6/9 - A/47/2022 européenne et ses Etats membres, d'autre part, sur la libre circulation des personnes (ALCP - RS 0.142.112.681) s'applique aux ressortissants qui ont le droit de séjourner et d'exercer une activité économique sur le territoire d'un État contractant (art. 2 Annexe I ALCP). La chambre administrative a relevé à cet égard que selon la jurisprudence du Tribunal fédéral (ATF 139 II 121), l'art. 67 LEI (qui concerne l'interdiction d'entrer sur le territoire suisse) est applicable directement aux ressortissants de l'Union européenne, à condition de s'accorder au cas par cas avec les exigences de l'art. 5 § 1 annexe I ALCP, selon lequel le droit de demeurer en Suisse pour y exercer une activité lucrative ne peut être limité que par des mesures d'ordre ou de sécurité publics. Le Tribunal fédéral a souligné que les limites posées au principe de la libre circulation des personnes devaient s'interpréter de manière restrictive, et qu'il devait exister une menace réelle et d'une certaine gravité affectant un intérêt fondamental de la société, rappelant au passage qu'il se montre particulièrement rigoureux en présence d'infraction à la LStup, pour pouvoir prononcer une interdiction fondée sur l'art. 67 LEI compatible avec l'ALCP. Il n'est de plus pas nécessaire d'établir avec certitude que l'étranger commettrait d'autres infractions à l'avenir pour prendre une mesure d'éloignement à son encontre ; inversement, ce serait aller trop loin que d'exiger que le risque de récidive soit nul pour que l'on renonce à une telle mesure. Examinant le cas d'espèce, le Tribunal fédéral (toujours dans l'arrêt précité), a constaté que l'intéressé avait été condamné, entre 2002 et 2009, pour des violations répétées et graves des règles de la circulation routière, pour de multiples infractions à la LStup, consistant notamment en l'écoulement d'au minimum 9,18 gr. d'héroïne pure et en la vente de plusieurs doses de ce produit à d'autres toxicomanes, et, dans une mesure moindre, pour des délits contre le patrimoine (tentative de vol en bande et dommage à la propriété). Ces différentes infractions apparaissaient comme objectivement graves. Pourtant, aucune d'entre elles, prise isolément, ne permettait d'inférer que l'intéressé « constitu[ait] pour l'avenir une menace réelle et grave pour l'ordre et la sécurité publics de nature à justifier une interdiction d'entrée en Suisse en dérogation à la libre circulation des personnes au sens des art. 67 al. 2 let. a LEtr cum art. 5 annexe I ALCP ». En revanche, en prenant en considération l'ensemble des faits reprochés et la période étendue sur laquelle ils s'étaient déroulés, il fallait admettre que l'intéressé, qui n'avait pas été capable de tirer les conséquences de deux avertissements qui lui avaient été adressés au sujet de la poursuite de son séjour en Suisse, constituait une menace d'une certaine gravité, réelle et actuelle pour l'ordre et la sécurité publics, de nature à justifier une mesure d'interdiction d'entrée au sens des art. 67 al. 2 let. a LEI cum art. 5 annexe I ALCP.</w:t>
      </w:r>
    </w:p>
    <w:p>
      <w:r>
        <w:rPr>
          <w:b/>
        </w:rPr>
        <w:t>E. 8</w:t>
      </w:r>
    </w:p>
    <w:p>
      <w:r>
        <w:t>Selon l'arrêt susmentionnée de la chambre administrative (ATA/1294/2021 du 25 novembre 2021), ces considérations s'appliquent également à l'article 74 LEI.</w:t>
      </w:r>
    </w:p>
    <w:p>
      <w:r>
        <w:rPr>
          <w:b/>
        </w:rPr>
        <w:t>E. 9</w:t>
      </w:r>
    </w:p>
    <w:p>
      <w:r>
        <w:t>En l'espèce, on ne saurait contester que M. A______ a un comportement de nature à troubler l'ordre et la sécurité publique, dès lors que sa consommation de</w:t>
      </w:r>
    </w:p>
    <w:p>
      <w:r>
        <w:t>- 7/9 - A/47/2022 haschisch et de cocaïne l'amène tout naturellement à alimenter le trafic de rue. De plus, il a également été condamné à la suite d'un vol d'une petite somme d'argent commis dans un véhicule, ainsi que pour avoir fait usage sans droit d'un cycle appartenant à autrui. Sur le plan social, ces comportements sont déplaisants, outre qu'ils font également directement du tort à autrui. Cela étant, il est douteux que les infractions pour lesquelles il a été condamné entre 2018 et le début de l'année 2022, quand bien même elles s'étendent sur une période de quatre ans, permettent de considérer que M. A______ constitue une menace « réelle et grave » pour l'ordre et la sécurité publique, au sens de la jurisprudence fédérale développée à propos de l'art. 5 annexe I ALCP, ainsi qu'elle a été rappelée plus haut. En effet, M. A______ demeure pour l'essentiel un consommateur de stupéfiants que la police retrouve très occasionnellement avec de toutes petites quantités de haschisch ou de cocaïne, destinées à sa propre consommation. Le précité a semble-t-il eu jusqu'ici la sagesse de ne pas se lancer lui-même dans du trafic de stupéfiants et se contente vraisemblablement d'utiliser ses propres ressources pour assurer sa consommation. Son comportement, dans l'ensemble, n'est ainsi pas du tout comparable à celui décrit dans l'ATF 139 II 121. Quand bien même on aurait une appréciation plus sévère de la menace que constituerait M. A______, s'ajoute, dans la présente affaire, la nécessité de comparer l'intérêt public à l'éloigner du territoire cantonal avec son intérêt privé à pouvoir y demeurer. Dans la très grande majorité des affaires soumises au tribunal de céans concernant des cas d'application de l'art. 74 LEI, les personnes visées par une mesure d'éloignement n'ont strictement aucun lien personnel avec le canton de Genève, ne faisant qu'y passer ou éventuellement y séjournant sans domicile fixe, auprès de personnes rencontrées par hasard et successivement. L'examen du principe de proportionnalité implique dans ces cas que même un faible trouble à l'ordre public peut être suffisant pour les éloigner du territoire cantonal, dès lors que leur propre intérêt à pouvoir y demeurer n'a pour ainsi dire aucune substance. Il en va très différemment dans le cas d'espèce, la mesure litigieuse étant non seulement propre à mettre immédiatement un terme à la vie de couple que M. A______ et Mme F______ mènent depuis plus de deux ans, mais également à mettre cette dernière dans une situation extrêmement difficile, puisqu'elle dépend très largement de l'aide quotidienne que lui apporte son compagnon pour accomplir les tâches que son handicap l'empêche d'exécuter elle-même.</w:t>
      </w:r>
    </w:p>
    <w:p>
      <w:r>
        <w:rPr>
          <w:b/>
        </w:rPr>
        <w:t>E. 10</w:t>
      </w:r>
    </w:p>
    <w:p>
      <w:r>
        <w:t>Il apparaît ainsi que comparé à l'impact considérable qu'aurait la mesure litigieuse sur la vie de couple de deux personnes et sur les besoins d'aide et d'assistance de l'une d'entre elles, le gain obtenu en faveur de l'ordre et de la sécurité publique par l'éloignement de M. A______ du territoire cantonal apparaît comme insuffisant pour justifier la mesure en question.</w:t>
      </w:r>
    </w:p>
    <w:p>
      <w:r>
        <w:rPr>
          <w:b/>
        </w:rPr>
        <w:t>E. 11</w:t>
      </w:r>
    </w:p>
    <w:p>
      <w:r>
        <w:t>La décision d'éloignement prononcée par le commissaire de police le 8 janvier 2022 sera par conséquent annulée.</w:t>
      </w:r>
    </w:p>
    <w:p>
      <w:r>
        <w:t>- 8/9 - A/47/2022</w:t>
      </w:r>
    </w:p>
    <w:p>
      <w:r>
        <w:rPr>
          <w:b/>
        </w:rPr>
        <w:t>E. 12</w:t>
      </w:r>
    </w:p>
    <w:p>
      <w:r>
        <w:t>Vu la nature du litige, il ne sera pas perçu d'émoluments (art. 87 al. 1 LPA et 12 du règlement sur les frais, émoluments et indemnités de procédure administrative - RFPA - E 5 10.03). Une indemnité de procédure de CHF 500.- sera allouée à M. A______ pour ses frais d'avocat et mise à la charge de l'État de Genève, soit pour lui le commissaire de police.</w:t>
      </w:r>
    </w:p>
    <w:p>
      <w:r>
        <w:rPr>
          <w:b/>
        </w:rPr>
        <w:t>E. 13</w:t>
      </w:r>
    </w:p>
    <w:p>
      <w:r>
        <w:t>Conformément à l'art. 9 al. 6 LaLEtr, le présent jugement sera communiqué à M. A______ par voie édictale et au commissaire de police. En vertu des art. 89 al. 2 et 111 al. 2 de la loi sur le Tribunal fédéral du 17 juin 2005 (LTF - RS 173.110), il sera en outre communiqué au secrétariat d'État aux migrations.</w:t>
      </w:r>
    </w:p>
    <w:p>
      <w:r>
        <w:rPr>
          <w:b/>
        </w:rPr>
        <w:t>E. 14</w:t>
      </w:r>
    </w:p>
    <w:p>
      <w:r>
        <w:t>Un éventuel recours déposé contre le présent jugement n'aura pas d'effet suspensif (art. 10 al. 1 LaLEtr).</w:t>
      </w:r>
    </w:p>
    <w:p>
      <w:r>
        <w:t>- 9/9 - A/47/2022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