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JTAPI/608/2024 vom 20. Juni 2024</w:t>
      </w:r>
    </w:p>
    <w:p>
      <w:r>
        <w:t>GE Cour de justice, 2024-06-20, FR</w:t>
      </w:r>
    </w:p>
    <w:p>
      <w:r>
        <w:rPr>
          <w:b/>
        </w:rPr>
        <w:t xml:space="preserve">Quelle: </w:t>
      </w:r>
      <w:r>
        <w:t>https://mcp.opencaselaw.ch/entscheid/ge_gerichte_JTAPI_608_2024</w:t>
      </w:r>
    </w:p>
    <w:p>
      <w:r>
        <w:t>FR: GE_GERICHTE JTAPI/608/2024 du 20 juin 2024</w:t>
      </w:r>
    </w:p>
    <w:p>
      <w:r>
        <w:t>IT: GE_GERICHTE JTAPI/608/2024 del 20 giugno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w:t>
      </w:r>
    </w:p>
    <w:p>
      <w:r>
        <w:t>- 11/13 - A/2067/2024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M. A______ conclut préalablement à ce que l'effet suspensif soit accordé à son opposition. Le tribunal ayant l'obligation de statuer dans les quatre jours suivant réception de l'opposition, il rend un jugement au fond. Partant, le tribunal statuant ce jour sur l'opposition à la mesure d'éloignement qu’il a formée, la demande devient sans objet. Le tribunal n'entrera pas en matière s'agissant des conclusions de M. A______ tendant à l'octroi de l'assistance juridique dès lors qu'il lui appartient de faire lui- même cette démarche auprès de l'assistance juridique. Quant à la fixation du droit aux relations personnelles avec la mineure C______, elle ressort de la compétence exclusive des autorités civiles. L'examen de l'opposition à la mesure d'éloignement ne peut en effet être envisagé que sous l'angle de la prévention de violences domestiques et n'a pas pour vocation de se substituer aux mesures à prendre sur le plan civil. Le tribunal retient que, même si les déclarations des parties sont pour l'essentiel contradictoires, il ressort néanmoins clairement de celles-ci que la situation est conflictuelle et qu'elle s'est détériorée au cours des derniers mois. Les parties ont en effet expliqué s'être séparées à plusieurs reprises, avoir provisoirement mis en place une garde alternée pour leur fille âgée de 10 mois, et ne pas souhaiter reprendre la vie commune. S'agissant des faits du 18 juin 2024, les parties admettent également qu'elles ont eu une altercation au domicile. Bien que M. A______ conteste tout acte de violence à l'égard de Mme B______, force est de constater que les déclarations de ce dernier sont contredites par les lésions attestées par constat médical du 19 juin 2024, sans qu'il ne soit nécessaire de se référer aux pièces produites en audience par M. A______, en particulier la vidéo du 18 juin 2024, celle-ci n’ayant pas été communiquée à la partie adverse, étant rappelé que les mesures d’éloignement n’impliquent pas un degré de preuve, mais une présomption suffisante des violences et de leur auteur. En tout état, les faits décrits par les parties correspondent sans conteste à la notion de violence domestique, au sens défini plus haut.</w:t>
      </w:r>
    </w:p>
    <w:p>
      <w:r>
        <w:t>- 12/13 - A/2067/2024 Aussi, le tribunal n'entrera pas en matière sur la conclusion de Mme B______ visant à ce qu'il « soit constaté l'inexploitabilité des pièces versées par M. A______ à l'audience de ce jour ». La question n'est pas de savoir lequel des intéressés est plus responsable que l'autre de la situation, ce qui est bien souvent impossible à établir. L'essentiel est de séparer les concubins en étant au moins à peu près certain que celui qui est éloigné du domicile conjugal est lui aussi l'auteur de violences, ce qui est le cas en l'espèce. Dans ces circonstances, vu en particulier le caractère récent des événements, de la situation visiblement conflictuelle et complexe dans laquelle les deux intéressés se trouvent et de la volonté clairement exprimée par les parties de ne pas poursuivre la vie commune, la perspective qu'ils se trouvent immédiatement sous le même toit apparait inopportune, quand bien même il est évident qu'une mesure d'éloignement administrative ne permettra pas, à elle seule, de régler la situation. Il sera au surplus tenu compte de la situation de plus grande vulnérabilité de Mme B______, sans emploi et avec un revenu limité, contrairement à celle de M. A______. Par conséquent, le tribunal confirmera la mesure prononcée à l’égard de M. A______, étant rappelé qu’elle ne concerne pas C______. Prise pour une durée de 15 jours, elle n'apparait pas d'emblée disproportionnée, l'intéressé ayant au demeurant expliqué qu'il avait la possibilité de résider chez son père, lequel vit à proximité du domicile conjugal. L'atteinte à la liberté personnelle de l’intéressé résultant de la décision entreprise, qui apparait utile, nécessaire et opportune, demeure acceptable, étant observé qu'aucune mesure moins incisive ne serait envisageable pour atteindre le but fixé par la LVD.</w:t>
      </w:r>
    </w:p>
    <w:p>
      <w:r>
        <w:rPr>
          <w:b/>
        </w:rPr>
        <w:t>E. 6</w:t>
      </w:r>
    </w:p>
    <w:p>
      <w:r>
        <w:t>Par conséquent, l'opposition sera rejetée et la mesure d'éloignement confirmée dans son principe et sa durée.</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- 13/13 - A/2067/2024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