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JTAPI/607/2024 vom 21. Juni 2024</w:t>
      </w:r>
    </w:p>
    <w:p>
      <w:r>
        <w:t>GE Cour de justice, 2024-06-21, FR</w:t>
      </w:r>
    </w:p>
    <w:p>
      <w:r>
        <w:rPr>
          <w:b/>
        </w:rPr>
        <w:t xml:space="preserve">Quelle: </w:t>
      </w:r>
      <w:r>
        <w:t>https://mcp.opencaselaw.ch/entscheid/ge_gerichte_JTAPI_607_2024</w:t>
      </w:r>
    </w:p>
    <w:p>
      <w:r>
        <w:t>FR: GE_GERICHTE JTAPI/607/2024 du 21 juin 2024</w:t>
      </w:r>
    </w:p>
    <w:p>
      <w:r>
        <w:t>IT: GE_GERICHTE JTAPI/607/2024 del 21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- 10/16 - A/3393/2023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arrêts du Tribunal fédéral 2C_844/2019 du 28 février 2020 consid. 3.1 ; 2C_794/2014 du 23 janvier 2015 consid. 3.2 et les autres références citées). Dans ce contexte, il convient également de tenir compte du droit au respect de la vie privée et familiale garanti par l'art. 8 de la Convention de sauvegarde des droits de l’homme et des libertés fondamentales du 4 novembre 1950 (CEDH - RS 0.101) (cf. arrêts du Tribunal fédéral 2C_844/2019 du 28 février 2020 consid. 3.1 ; 2C_794/2014 du 23 janvier 2015 consid. 3.2), dont il sera question ci-après.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2C_388/2009 du 9 décembre 2009 consid. 4). L'existence de contacts purement amicaux entre les époux, même s'ils étaient entretenus à raison de deux ou trois fois par semaine, ne suffit pas à fonder une communauté conjugale réellement vécue (arrêts du Tribunal fédéral 2C_212/2011 du 13 juillet 2011 consid. 7.1 ; 2C_575/2009 du 1er juin 2010 consid. 3.6 ; 2C_285/ 2009 du 4 février 2010 consid. 2.2). Une telle communauté conjugale est présente lorsque les rapports conjugaux sont effectivement vécus et que subsiste la volonté réciproque des époux de maintenir leur lien conjugal (« ein gegenseitiger Ehewille besteht », « una reciproca volontà in relazione al vincolo del matrimonio » ; ATF 138 II 229 consid. 2 ; 137 II 345 consid. 3.1.2 ; arrêts du Tribunal fédéral 2C_547/2014 du 5 janvier 2015 consid. 2.1 ; 2C_48/2014 du 9 octobre 2014 consid. 2.2 ; 2C_761/2011 du 27 janvier 2012 consid. 3.2).</w:t>
      </w:r>
    </w:p>
    <w:p>
      <w:r>
        <w:rPr>
          <w:b/>
        </w:rPr>
        <w:t>E. 3.2</w:t>
      </w:r>
    </w:p>
    <w:p>
      <w:r>
        <w:t>; arrêts 2C_460/2011 du 21 novembre 2011 consid. 3.2 ; 2C_167/2010 du 3 août 2010, consid. 6.3).</w:t>
      </w:r>
    </w:p>
    <w:p>
      <w:r>
        <w:rPr>
          <w:b/>
        </w:rPr>
        <w:t>E.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5</w:t>
      </w:r>
    </w:p>
    <w:p>
      <w:r>
        <w:t>Selon l’art. 42 al. 1 LEI, le conjoint d’un ressortissant suisse a droit à l’octroi d’une autorisation de séjour et à la prolongation de sa durée de validité à condition de vivre en ménage commun avec lui. Cette disposition requiert non seulement le mariage des époux, mais aussi leur ménage commun (ATF 136 II 113 consid. 3.2). La notion d'union conjugale suppose l'existence d'une communauté conjugale effectivement vécue et reposant sur une volonté matrimoniale réciproque (ATF 138 II 229 consid. 2 ; 137 II 345 consid. 3.1.2).</w:t>
      </w:r>
    </w:p>
    <w:p>
      <w:r>
        <w:rPr>
          <w:b/>
        </w:rPr>
        <w:t>E. 6</w:t>
      </w:r>
    </w:p>
    <w:p>
      <w:r>
        <w:t>Selon l’art. 49 LEI, l’exigence du ménage commune prévue à l’art. 42 LEI n’est pas applicable lorsque la communauté familiale est maintenue et que des raisons majeures justifiant l’existence de domiciles séparés peuvent être invoquées ; ces conditions sont cumulatives (arrêts du Tribunal fédéral 2C_204/2014 du 5 mai 2014 consid. 6.1 ; 2C_40/2012 du 15 octobre 2012 consid. 4 ; 2C_40/2012 du 15 octobre 2012 consid. 4 ; 2C_759/2010 du 28 janvier 2011 consid. 4.2). Les raisons majeures peuvent, notamment, être dues à des obligations professionnelles ou à une séparation provisoire en raison de problèmes familiaux</w:t>
      </w:r>
    </w:p>
    <w:p>
      <w:r>
        <w:t>- 11/16 - A/3393/2023 importants (art. 76 OASA). Les motifs susceptibles de constituer une raison majeure visent ainsi des situations exceptionnelles, fondées avant tout sur des raisons d'ordre professionnel ou familiales (arrêts du Tribunal fédéral 2C_204/2014 du 5 mai 2014 consid. 6.1 ; 2C_593/2011 du 19 mars 2012 consid. 3.1.1). Les raisons majeures doivent être objectivables et avoir un certain poids ; on tendra donc d'autant plus à estimer être en présence d'une raison majeure si les conjoints ne sont pas en mesure de remédier à la séparation sans subir un grand préjudice (arrêt du Tribunal fédéral 2C_703/2013 du 22 août 2013 consid. 2.1). Si la recherche d'un travail peut, selon les circonstances, être considérée comme une raison majeure justifiant un domicile séparé des époux au sens de l'art. 49 LEI, cela ne vaut que pour une période temporaire correspondant au temps raisonnablement nécessaire à l'époux pour trouver un (nouvel) emploi (arrêt du Tribunal fédéral 2C_212/2011 du 13 juillet 2011 consid. 7.1 ; 2C_871/2010 du 7 avril 2011 consid. 3.2). Une détérioration de la santé n'est pas en soi une raison majeure et la vague possibilité d'une reprise de la vie commune un jour ne doit pas être assimilée au maintien de la communauté conjugale (arrêt du Tribunal fédéral 2C_1027/2012 du 20 décembre 2012 consid 3.3). La décision librement consentie des époux de « vivre ensemble séparément » (« living apart together » ; cf. arrêts du Tribunal fédéral 2C_505/2013 du 4 octobre 2013 consid. 4.2 ; 2C_40/2012 du 15 octobre 2012 consid. 4 ; 2C_212/2011 du 13 juillet 2011 et 2C_720/2008 du 14 janvier 2009) en tant que telle et sans résulter d'autres motifs ne constitue pas non plus une raison majeure au sens de l'art. 49 LEI (cf. arrêts du Tribunal fédéral 2C_204/2014 du 5 mai 2014 consid. 6.1 ; 2C_207/ 2011 du 5 septembre 2011 consid. 4.2 ; 2C_792/2010 du 25 mai 2011 consid.</w:t>
      </w:r>
    </w:p>
    <w:p>
      <w:r>
        <w:rPr>
          <w:b/>
        </w:rPr>
        <w:t>E. 7</w:t>
      </w:r>
    </w:p>
    <w:p>
      <w:r>
        <w:t>De manière générale, il appartient à l'étranger d'établir l'existence d'une exception au sens de l'art.49 LEI, ainsi que le maintien de la communauté conjugale en dépit des domiciles séparés. Cela vaut d'autant plus lorsque cette situation a duré plus de quelques mois, car une séparation de plus d'une année fait présumer que la communauté familiale a cessé d'exister (arrêts du Tribunal fédéral 2C_1051/2020 du 26 mars 2021 consid. 5.1 et 2C_603/2019 du 16</w:t>
      </w:r>
    </w:p>
    <w:p>
      <w:r>
        <w:t>- 12/16 - A/3393/2023 décembre 2019 consid. 4.1). Cette obligation, qui se laisse déduire de l'art. 90 LEI,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(arrêt du Tribunal fédéral 2C_212/2011 du 13 juillet 2011 consid. 7.1 et les références citées). Le but de l'art. 49 LEI n'est en effet pas de permettre aux époux étrangers de vivre séparés en Suisse pendant une longue période ; il exige que la communauté familiale soit maintenue. Il vise des situations exceptionnelles (arrêt du Tribunal fédéral 2C_40/2012 du 15 octobre 2012 consid. 4), non à permettre à des conjoints de faire le point sur leur relation (arrêts du Tribunal fédéral 2C_891/2012 du 7 juin 2013 consid. 2.3 ; 2C_575/2009 du 1er juin 2010 consid. 3.6).</w:t>
      </w:r>
    </w:p>
    <w:p>
      <w:r>
        <w:rPr>
          <w:b/>
        </w:rPr>
        <w:t>E. 8</w:t>
      </w:r>
    </w:p>
    <w:p>
      <w:r>
        <w:t>Aux termes de l'art. 50 al. 1 LEI, après la dissolution de la famille, le droit du conjoint et des enfants à l’octroi d’une autorisation de séjour et à la prolongation de sa durée de validité en vertu des art. 42 et 43 LEI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9</w:t>
      </w:r>
    </w:p>
    <w:p>
      <w:r>
        <w:t>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w:t>
      </w:r>
    </w:p>
    <w:p>
      <w:r>
        <w:rPr>
          <w:b/>
        </w:rPr>
        <w:t>E. 10</w:t>
      </w:r>
    </w:p>
    <w:p>
      <w:r>
        <w:t>Selon l'art. 50 al. 1 let. b LEI, après dissolution de la famille, le droit du conjoint et des enfants à l'octroi d'une autorisation de séjour et à la prolongation de sa durée de validité en vertu de l’art. 43 LEI notamment subsiste si la poursuite du séjour en Suisse s'impose pour des raisons personnelles majeures. L'art. 50 al. 2 LEI, repris à l'art. 77 al. 2 OASA, précise qu'il existe de telles raisons notamment lorsque le conjoint est victime de violence conjugale, que le mariage a</w:t>
      </w:r>
    </w:p>
    <w:p>
      <w:r>
        <w:t>- 13/16 - A/3393/2023 été conclu en violation de la libre volonté de l'un des époux ou que la réintégration sociale dans le pays de provenance semble fortement compromise.</w:t>
      </w:r>
    </w:p>
    <w:p>
      <w:r>
        <w:rPr>
          <w:b/>
        </w:rPr>
        <w:t>E. 11</w:t>
      </w:r>
    </w:p>
    <w:p>
      <w:r>
        <w:t>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(cf. ATF 138 II 393 consid. 3 ; 137 II 345 consid. 3.2.1 ; 137 II 1 consid. 3 et les références citées ; arrêt du Tribunal fédéral 2C_1062/2013 du 28 mars 2014 consid. 3.2.1).</w:t>
      </w:r>
    </w:p>
    <w:p>
      <w:r>
        <w:rPr>
          <w:b/>
        </w:rPr>
        <w:t>E. 12</w:t>
      </w:r>
    </w:p>
    <w:p>
      <w:r>
        <w:t>La jurisprudence admet que des raisons personnelles majeures peuvent aussi découler d'une relation digne de protection avec un enfant qui a le droit de séjourner en Suisse (cf. ATF 139 I 315 consid.</w:t>
      </w:r>
    </w:p>
    <w:p>
      <w:r>
        <w:rPr>
          <w:b/>
        </w:rPr>
        <w:t>E. 13</w:t>
      </w:r>
    </w:p>
    <w:p>
      <w:r>
        <w:t>Le droit au séjour ou à la poursuite du séjour fondé sur les art. 42 et 50 LEI s’éteint lorsqu’il est invoqué abusivement ou s’il existe des motifs de révocation (art. 51 al. 1 et 2 LEI).</w:t>
      </w:r>
    </w:p>
    <w:p>
      <w:r>
        <w:rPr>
          <w:b/>
        </w:rPr>
        <w:t>E. 14</w:t>
      </w:r>
    </w:p>
    <w:p>
      <w:r>
        <w:t>Selon la jurisprudence, l'abus de droit doit être admis lorsqu'il est établi que les époux vivent en ménage commun seulement pour la façade (ATF 136 II 113 consid.</w:t>
      </w:r>
    </w:p>
    <w:p>
      <w:r>
        <w:rPr>
          <w:b/>
        </w:rPr>
        <w:t>E. 15</w:t>
      </w:r>
    </w:p>
    <w:p>
      <w:r>
        <w:t>En l'occurrence, la décision litigieuse se fonde sur le fait que le ménage commun entre le recourant et son épouse avait duré moins de trois ans entre la célébration du mariage à Genève le ______ 2018 et la séparation du couple le _______ 2021. Il ressort des éléments du dossier, et en particulier des déclarations faites par les deux conjoints à l'audience du 18 mars 2024 devant le tribunal, déclarations dont la valeur probante a convaincu le tribunal, ainsi que d'ailleurs l'autorité intimée, que leur séparation survenue le 30 juin 2021 a déjà pris fin environ un mois plus tard, les deux époux ayant réussi à apaiser les tensions entre eux. Ainsi, on ne saurait</w:t>
      </w:r>
    </w:p>
    <w:p>
      <w:r>
        <w:t>- 14/16 - A/3393/2023 réellement parler d'une rupture du lien conjugal, mais bien davantage d'une crise tout à fait passagère.</w:t>
      </w:r>
    </w:p>
    <w:p>
      <w:r>
        <w:rPr>
          <w:b/>
        </w:rPr>
        <w:t>E. 16</w:t>
      </w:r>
    </w:p>
    <w:p>
      <w:r>
        <w:t>La question est plutôt de déterminer si la vie conjugale qu'ils ont menée ensuite durant près de trois ans, jusqu'à ce que le recourant réintègre complètement le domicile familial en février 2024, remplit les conditions rappelées plus haut pour admettre le maintien d'une vie conjugale sans ménage commun. Sur ce point, dans ses dernières écritures, l'autorité intimée a indiqué s'en rapporter à justice.</w:t>
      </w:r>
    </w:p>
    <w:p>
      <w:r>
        <w:rPr>
          <w:b/>
        </w:rPr>
        <w:t>E. 17</w:t>
      </w:r>
    </w:p>
    <w:p>
      <w:r>
        <w:t>En réalité, la question pourrait se poser, au préalable, de savoir si l'on a réellement affaire à une vie conjugale sans ménage commun. En effet, il résulte des déclarations du recourant et de son épouse que celui-ci a tout d'abord vécu dans le logement mis à disposition par un ami dans le canton de Vaud durant les six mois qui ont suivi la séparation, mais toutefois en n'y dormant qu'une partie du temps pour des raisons de proximité avec le poste qu'il occupait à ce moment-là dans ce même canton. Lorsqu'il ne dormait pas dans ce logement, le recourant était au domicile familial. Au terme de ces six mois, le recourant a ensuite trouvé un emploi à Genève, ainsi qu'un logement situé à environ 100 m du logement familial. Dès ce moment, selon les déclarations de son épouse, il était « tout le temps chez elle ». Les circonstances du cas d'espèce relèvent ainsi d'une sorte de « zone grise » dans laquelle il n'est pas tout à fait certain qu'il faille appliquer les règles restrictives prévues par la loi et la jurisprudence pour admettre la poursuite d'un ménage commun malgré la présence de deux domiciles distincts.</w:t>
      </w:r>
    </w:p>
    <w:p>
      <w:r>
        <w:rPr>
          <w:b/>
        </w:rPr>
        <w:t>E. 18</w:t>
      </w:r>
    </w:p>
    <w:p>
      <w:r>
        <w:t>Cela étant, quand bien même on aurait effectivement affaire à un « ménage commun séparé », force est de constater que les conditions en sont réalisées en l'espèce. À cet égard, il convient tout d'abord de relever que ces dernières visent avant tout à écarter la possibilité d'un abus de droit, de même qu'à s'assurer que les membres du couple ont réellement l'intention de poursuivre l'union conjugale et que celle-ci conserve une véritable substance. La question de savoir si cette vie séparée se justifie pour des raisons professionnelles ou pour permettre de surmonter une crise conjugale ne doit ainsi pas occulter le fait qu'au-delà de ces circonstances spécifiques, toute situation particulière peut a priori être prise en considération, du moment que l'autorité peut se convaincre du maintien d'une réelle union conjugale.</w:t>
      </w:r>
    </w:p>
    <w:p>
      <w:r>
        <w:rPr>
          <w:b/>
        </w:rPr>
        <w:t>E. 19</w:t>
      </w:r>
    </w:p>
    <w:p>
      <w:r>
        <w:t>Dans le cas d'espèce, le recourant et son épouse ont à l'évidence maintenu une telle union. Au-delà du fait, en soi déjà significatif, que le recourant passait l'essentiel de son temps au domicile familial plutôt que dans son propre logement, il a continué à passer plusieurs périodes de vacances avec son épouse, de même qu'avec une partie de la famille de cette dernière. Il a en outre continué à la soutenir financièrement en pourvoyant notamment à ses frais d'immatriculation universitaire. À l'évidence, une union conjugale qui n'existerait plus que formellement n'amènerait pas deux époux disposant chacun d'un logement à partager ainsi l'essentiel de leur temps et de leurs ressources.</w:t>
      </w:r>
    </w:p>
    <w:p>
      <w:r>
        <w:t>- 15/16 - A/3393/2023 Par conséquent, force est de constater que l'union conjugale s'est valablement maintenue au-delà des trois ans qui ont suivi le mariage du recourant.</w:t>
      </w:r>
    </w:p>
    <w:p>
      <w:r>
        <w:rPr>
          <w:b/>
        </w:rPr>
        <w:t>E. 20</w:t>
      </w:r>
    </w:p>
    <w:p>
      <w:r>
        <w:t>Pour cette raison, la décision litigieuse s'avère erronée et devra être annulée, le recours étant par conséquent admis.</w:t>
      </w:r>
    </w:p>
    <w:p>
      <w:r>
        <w:rPr>
          <w:b/>
        </w:rPr>
        <w:t>E. 21</w:t>
      </w:r>
    </w:p>
    <w:p>
      <w:r>
        <w:t>Vu l'issue du litige, il ne sera pas perçu d'émolument (art. 87 al. 1 LPA et 1 et 2 du règlement sur les frais, émoluments et indemnités en procédure administrative du 30 juillet 1986 - RFPA - E 5 10.03).</w:t>
      </w:r>
    </w:p>
    <w:p>
      <w:r>
        <w:rPr>
          <w:b/>
        </w:rPr>
        <w:t>E. 22</w:t>
      </w:r>
    </w:p>
    <w:p>
      <w:r>
        <w:t>Vu l'issue du litige, une indemnité de procédure de CHF 1'500.-, laquelle tient compte notamment des actes d'instruction auxquels le conseil du recourant à dû participer, sera allouée au recourant et mise à la charge de l’État de Genève, soit pour lui l'autorité intimée (art. 87 al. 2 à 4 LPA et 6 RFPA).</w:t>
      </w:r>
    </w:p>
    <w:p>
      <w:r>
        <w:rPr>
          <w:b/>
        </w:rPr>
        <w:t>E. 23</w:t>
      </w:r>
    </w:p>
    <w:p>
      <w:r>
        <w:t>En vertu des art. 89 al. 2 et 111 al. 2 de la loi sur le Tribunal fédéral du 17 juin 2005 (LTF - RS 173.110), le présent jugement sera communiqué au secrétariat d'État aux migrations.</w:t>
      </w:r>
    </w:p>
    <w:p>
      <w:r>
        <w:t>- 16/16 - A/3393/2023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