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JTAPI/604/2021 vom 14. Juni 2021</w:t>
      </w:r>
    </w:p>
    <w:p>
      <w:r>
        <w:t>GE Cour de justice, 2021-06-14, FR</w:t>
      </w:r>
    </w:p>
    <w:p>
      <w:r>
        <w:rPr>
          <w:b/>
        </w:rPr>
        <w:t xml:space="preserve">Quelle: </w:t>
      </w:r>
      <w:r>
        <w:t>https://mcp.opencaselaw.ch/entscheid/ge_gerichte_JTAPI_604_2021</w:t>
      </w:r>
    </w:p>
    <w:p>
      <w:r>
        <w:t>FR: GE_GERICHTE JTAPI/604/2021 du 14 juin 2021</w:t>
      </w:r>
    </w:p>
    <w:p>
      <w:r>
        <w:t>IT: GE_GERICHTE JTAPI/604/2021 del 14 giugno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w:t>
      </w:r>
    </w:p>
    <w:p>
      <w:r>
        <w:rPr>
          <w:b/>
        </w:rPr>
        <w:t>E. 2</w:t>
      </w:r>
    </w:p>
    <w:p>
      <w:r>
        <w:t>Interjeté en temps utile et dans les formes prescrites devant la juridiction compétente, le recours est recevable au sens des art. 63 al. 1 et 65 de la loi sur la procédure administrative du 12 septembre 1985 (LPA - E 5 10).</w:t>
      </w:r>
    </w:p>
    <w:p>
      <w:r>
        <w:rPr>
          <w:b/>
        </w:rPr>
        <w:t>E. 3</w:t>
      </w:r>
    </w:p>
    <w:p>
      <w:r>
        <w:t>Les recourants contestent la prise en compte du montant de la rente de superficie capitalisée pour la détermination du prix d’achat de leur logement dans le cadre du rabais Casatax.</w:t>
      </w:r>
    </w:p>
    <w:p>
      <w:r>
        <w:rPr>
          <w:b/>
        </w:rPr>
        <w:t>E. 4</w:t>
      </w:r>
    </w:p>
    <w:p>
      <w:r>
        <w:t>Selon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w:t>
      </w:r>
    </w:p>
    <w:p>
      <w:r>
        <w:rPr>
          <w:b/>
        </w:rPr>
        <w:t>E. 5</w:t>
      </w:r>
    </w:p>
    <w:p>
      <w:r>
        <w:t>Aux termes de l’art. 8A al. 1 LDE, en cas de transfert qui a pour objet la propriété d’un immeuble destiné à servir de résidence principale à l’acquéreur, les droits d’enregistrement sur l’acte de vente sont réduits de CHF 15'000.- pour les opérations n’excédant pas CHF 1 million. Ces montants sont indexés annuellement à l’indice genevois de la construction.</w:t>
      </w:r>
    </w:p>
    <w:p>
      <w:r>
        <w:t>- 5/8 - A/4043/2020</w:t>
      </w:r>
    </w:p>
    <w:p>
      <w:r>
        <w:rPr>
          <w:b/>
        </w:rPr>
        <w:t>E. 6</w:t>
      </w:r>
    </w:p>
    <w:p>
      <w:r>
        <w:t>Pour l’année 2020, les montants indexés s’élèvent à CHF 1'202'607.- pour la valeur maximale des opérations et à CHF 18'039.- pour la réduction du droit de vente (art. 1 al. 6 RDE).</w:t>
      </w:r>
    </w:p>
    <w:p>
      <w:r>
        <w:rPr>
          <w:b/>
        </w:rPr>
        <w:t>E. 7</w:t>
      </w:r>
    </w:p>
    <w:p>
      <w:r>
        <w:t>L’art. 2 al. 1 RDE prévoit, pour les logements qui ne sont pas encore construits, que la valeur de l’opération comprend le prix ou la valeur vénale du bien-fonds ainsi que le montant de toutes les prestations découlant de contrats d’entreprise et contrats analogues mentionnés à l’art. 83 LDE, tels notamment les contrats d’architecte et les contrats « clés en mains ».</w:t>
      </w:r>
    </w:p>
    <w:p>
      <w:r>
        <w:rPr>
          <w:b/>
        </w:rPr>
        <w:t>E. 8</w:t>
      </w:r>
    </w:p>
    <w:p>
      <w:r>
        <w:t>À teneur de l’art. 2 al. 2 let. a RDE, sont réduits les droits d’enregistrement des actes de vente ainsi que les procès-verbaux d’adjudication, au sens de l’art. 33 al. 1 LDE, portant transfert à titre onéreux de la propriété de l’immeuble destiné à servir de résidence principale à l’acquéreur.</w:t>
      </w:r>
    </w:p>
    <w:p>
      <w:r>
        <w:rPr>
          <w:b/>
        </w:rPr>
        <w:t>E. 9</w:t>
      </w:r>
    </w:p>
    <w:p>
      <w:r>
        <w:t>L’art. 45 al. 1 LDE dispose que, lors de la constitution ou du transfert d’un droit de superficie distinct et permanent ou d’une servitude de superficie personnelle et cessible, d’une durée de trente ans au moins, le droit de vente au taux de 3% prévu à l’art. 33 LDE est perçu sur la valeur de l’immeuble (terrain et bâtiment) sur lequel s’exerce le droit ou la servitude. La valeur de l’immeuble est déterminée par capitalisation au taux de 5% de la rente foncière (art.45 al. 3 LDE).</w:t>
      </w:r>
    </w:p>
    <w:p>
      <w:r>
        <w:rPr>
          <w:b/>
        </w:rPr>
        <w:t>E. 10</w:t>
      </w:r>
    </w:p>
    <w:p>
      <w:r>
        <w:t>Le bénéficiaire de la réduction doit, dans tous les cas, deux ans au maximum après l’enregistrement de l’acte d’acquisition, remettre à l’administration la preuve de l’affectation de l’immeuble à sa résidence principale. Il doit, en outre, dès ce moment, occuper ce dernier, conformément à l’al. 1, durant une période continue de trois ans. À défaut, le solde non perçu des droits est immédiatement exigible. Fait exception le cas du décès du bénéficiaire (art. 8A al. 3 LDE).</w:t>
      </w:r>
    </w:p>
    <w:p>
      <w:r>
        <w:rPr>
          <w:b/>
        </w:rPr>
        <w:t>E. 11</w:t>
      </w:r>
    </w:p>
    <w:p>
      <w:r>
        <w:t>Le 3 mars 2004, l’AFC-GE a publié la Communication portant sur l’art. 8A LDE en collaboration avec la Commission fiscale de la Chambre des Notaires qui a pris effet le 4 mars 2004, soit en même temps que la disposition légale précitée et son règlement d'application (RDE). Selon la jurisprudence de la chambre administrative de la Cour de justice, laquelle s’est référée à la doctrine (Gregor T. CHATTON, Quelques réflexions au sujet du nouvel article 8A de la loi genevoise sur les droits d'enregistrement et de sa constitutionnalité, publié in RDAF II 2005, p. 1-37 ; Pierre MOOR, Droit administratif, volume I, Berne 1994, p. 268), la Communication doit être qualifiée d’ordonnance administrative interprétative à portée externe contenant des instructions et indications précises sur la manière d'appliquer et de comprendre les actes normatifs sur lesquels elle se fonde. En d'autres termes, la communication contient des normes secondaires visant à harmoniser la pratique ainsi que l'exercice des compétences et l'interprétation des normes juridiques demeurées vagues ou indéterminées par les organes</w:t>
      </w:r>
    </w:p>
    <w:p>
      <w:r>
        <w:t>- 6/8 - A/4043/2020 d'application de l'article 8A LDE, de même que ses corollaires (ATA/349/2006 du 20 juin 2006). Selon les ch. 1.1.2 et 1.1.3 de la Communication, le transfert doit avoir pour objet un immeuble au sens juridique du terme (art. 655 du code civil suisse du 10 décembre 2007 – CC – RS 210) sis à Genève. Ce transfert doit porter sur l’acquisition de l’immeuble en pleine propriété, que ce soit en propriété individuelle, en copropriété ou en propriété commune. N’entrent ainsi pas dans le champ d’application de l’art. 8A LDE les transferts portant sur l’acquisition de l’usufruit ou de la nue-propriété. Le ch. 2.2 let. a prévoit que le rabais Casatax s’applique, lorsque le logement est déjà construit, au droit de vente sur la valeur totale de l’opération immobilière, dont la notion est précisée au ch. 1.3, à savoir notamment qu’il ne sera « pas tenu compte d’autres éléments parfois visés dans les actes de vente, comme le rachat d’une cédule hypothécaire ou les indemnités versées par l’acquéreur pour obtenir la libération des lieux ».</w:t>
      </w:r>
    </w:p>
    <w:p>
      <w:r>
        <w:rPr>
          <w:b/>
        </w:rPr>
        <w:t>E. 12</w:t>
      </w:r>
    </w:p>
    <w:p>
      <w:r>
        <w:t>Le principe de la légalité gouverne l'ensemble de l'activité de l'État (art. 5 al. 1 et 36 al. 1 de la Constitution fédérale de la Confédération suisse du 18 avril 1999 - Cst. – RS 101)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 ATA/844/2020 du 1er septembre 2020).</w:t>
      </w:r>
    </w:p>
    <w:p>
      <w:r>
        <w:rPr>
          <w:b/>
        </w:rPr>
        <w:t>E. 13</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141 II 280 consid. 6.1 ; 140 II 202 consid. 5.1 ; arrêt du Tribunal fédéral 2C_961/2016 du 30 mars 2017 consid. 4.1).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arrêt du Tribunal fédéral 1C_102/2016 du 20 décembre 2016 consid. 2.3 ; ATA/127/2018 du 6 février 2018).</w:t>
      </w:r>
    </w:p>
    <w:p>
      <w:r>
        <w:rPr>
          <w:b/>
        </w:rPr>
        <w:t>E. 14</w:t>
      </w:r>
    </w:p>
    <w:p>
      <w:r>
        <w:t>En l’espèce, comme le reconnaît l’autorité intimée, l’ancien Tribunal administratif (actuellement : chambre administrative de la Cour de justice) a certes validé l’application de la Communication (ATA/349/2006 précité), toutefois celle-ci ne</w:t>
      </w:r>
    </w:p>
    <w:p>
      <w:r>
        <w:t>- 7/8 - A/4043/2020 traite pas spécifiquement de la question de la prise en compte du DDP pour le rabais Casatax.</w:t>
      </w:r>
    </w:p>
    <w:p>
      <w:r>
        <w:rPr>
          <w:b/>
        </w:rPr>
        <w:t>E. 15</w:t>
      </w:r>
    </w:p>
    <w:p>
      <w:r>
        <w:t>Cela étant, dans sa réponse du 27 janvier 2021, l’AFC-GE se fonde néanmoins sur le ch. 2.2 let. a de la Communication pour soutenir que la valeur totale de l’opération immobilière comprend le prix de vente de CHF 1'172'719.- de l’appartement en PPE, auquel elle ajoute le montant de la rente de superficie capitalisée au taux de 5%, soit CHF 70'902.80 (CHF 3545.14 x 100 / 5), ce qui représente un total de CHF 1'243'621.80 dépassant le plafond de CHF 1'202'607.- donnant droit au rabais Casatax.</w:t>
      </w:r>
    </w:p>
    <w:p>
      <w:r>
        <w:rPr>
          <w:b/>
        </w:rPr>
        <w:t>E. 16</w:t>
      </w:r>
    </w:p>
    <w:p>
      <w:r>
        <w:t>L’AFC-GE ne saurait être suivie dans son argumentation. En effet, les art. 8A al. 1 LDE et 2 al. 2 let. a RDE mentionnent que l’opération a pour objet le transfert à titre onéreux de la propriété d’un immeuble destiné à servir de résidence principale à l’acquéreur. Or, en l’occurrence, le transfert de la propriété porte uniquement sur la partie du bâtiment devant servir de logement principal à son acquéreur. S’agissant du terrain sur lequel a été édifié ce bâtiment, les recourants n’ont fait qu’acquérir un droit de superficie proportionnel au logement qu’ils occupent. Ils n’ont dès lors pas acquis une part de copropriété sur ce terrain. Le transfert de ce droit de superficie est certes soumis à un droit d’enregistrement conformément à l’art. 45 LDE, mais rien n’indique que l’art. 8A LDE l’inclut dans la détermination de la valeur totale de l’opération. Il convient dès lors de s’en tenir strictement au texte de la loi qui mentionne que le transfert a pour objet la propriété d’un immeuble, ce qui exclut le transfert d’un droit de superficie. Cette solution apparaît d’ailleurs plus conforme au principe de la légalité rappelé ci-dessus.</w:t>
      </w:r>
    </w:p>
    <w:p>
      <w:r>
        <w:rPr>
          <w:b/>
        </w:rPr>
        <w:t>E. 17</w:t>
      </w:r>
    </w:p>
    <w:p>
      <w:r>
        <w:t>Le prix de la vente immobilière litigieuse (CHF 1'172'719.-) restant ainsi en dessous du plafond de CHF 1'202'607.- fixé pour l’année 2020, le rabais Casatax devra être accordé aux recourants.</w:t>
      </w:r>
    </w:p>
    <w:p>
      <w:r>
        <w:rPr>
          <w:b/>
        </w:rPr>
        <w:t>E. 18</w:t>
      </w:r>
    </w:p>
    <w:p>
      <w:r>
        <w:t>En conséquence, le recours étant admis, le dossier sera renvoyé à l’AFC-GE, afin qu’elle notifie aux recourants un nouvel avis de taxation conforme aux considérants qui précèdent.</w:t>
      </w:r>
    </w:p>
    <w:p>
      <w:r>
        <w:rPr>
          <w:b/>
        </w:rPr>
        <w:t>E. 19</w:t>
      </w:r>
    </w:p>
    <w:p>
      <w:r>
        <w:t>En application des art. 87 al. 1 de la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sera restituée.</w:t>
      </w:r>
    </w:p>
    <w:p>
      <w:r>
        <w:t>- 8/8 - A/4043/2020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