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JTAPI/601/2024 vom 5. April 2019</w:t>
      </w:r>
    </w:p>
    <w:p>
      <w:r>
        <w:t>GE Cour de justice, 2019-04-05, FR</w:t>
      </w:r>
    </w:p>
    <w:p>
      <w:r>
        <w:rPr>
          <w:b/>
        </w:rPr>
        <w:t xml:space="preserve">Quelle: </w:t>
      </w:r>
      <w:r>
        <w:t>https://mcp.opencaselaw.ch/entscheid/ge_gerichte_JTAPI_601_2024</w:t>
      </w:r>
    </w:p>
    <w:p>
      <w:r>
        <w:t>FR: GE_GERICHTE JTAPI/601/2024 du 5 avril 2019</w:t>
      </w:r>
    </w:p>
    <w:p>
      <w:r>
        <w:t>IT: GE_GERICHTE JTAPI/601/2024 del 5 aprile 2019</w:t>
      </w:r>
    </w:p>
    <w:p>
      <w:pPr>
        <w:pStyle w:val="Heading2"/>
      </w:pPr>
      <w:r>
        <w:t>Erwägungen</w:t>
      </w:r>
    </w:p>
    <w:p>
      <w:r>
        <w:rPr>
          <w:b/>
        </w:rPr>
        <w:t>E. 4</w:t>
      </w:r>
    </w:p>
    <w:p>
      <w:r>
        <w:t>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w:t>
      </w:r>
    </w:p>
    <w:p>
      <w:r>
        <w:t>- 14/22 - A/2981/2023</w:t>
      </w:r>
    </w:p>
    <w:p>
      <w:r>
        <w:rPr>
          <w:b/>
        </w:rPr>
        <w:t>E. 5</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6</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op. cit., p. 198 n. 583 ; Andreas AUER/Giorgio MALINVERNI/Michel HOTTELIER, op. cit., p. 551 n. 1184). L'interdiction de l'abus de droit vaut, en droit administratif, pour les administrés et l'administration (Thierry TANQUEREL, op. cit., p. 198 n. 584).</w:t>
      </w:r>
    </w:p>
    <w:p>
      <w:r>
        <w:rPr>
          <w:b/>
        </w:rPr>
        <w:t>E. 7</w:t>
      </w:r>
    </w:p>
    <w:p>
      <w:r>
        <w:t>Une notification irrégulière ne peut entraîner aucun préjudice pour les parties (art. 47 LPA ; cf. aussi not. arrêts du Tribunal fédéral 2C_1010/2020 du 26 février 2021 consid. 4.3 ; 2C_884/2019 du 10 mars 2020 consid. 8 ; 2C_1021/2018 du 26 juillet 2019 consid. 4.2).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w:t>
      </w:r>
    </w:p>
    <w:p>
      <w:r>
        <w:rPr>
          <w:b/>
        </w:rPr>
        <w:t>E. 8</w:t>
      </w:r>
    </w:p>
    <w:p>
      <w:r>
        <w:t>Selon l'art. 62 al. 1 let. a LPA, le délai de recours contre une décision finale est de 30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9</w:t>
      </w:r>
    </w:p>
    <w:p>
      <w:r>
        <w:t>Un délai fixé par la loi ne peut être prolongé. Les cas de force majeure sont réservés (art. 16 al. 1 LPA).</w:t>
      </w:r>
    </w:p>
    <w:p>
      <w:r>
        <w:rPr>
          <w:b/>
        </w:rPr>
        <w:t>E. 10</w:t>
      </w:r>
    </w:p>
    <w:p>
      <w:r>
        <w:t>Ainsi, celui qui n’agit pas dans le délai prescrit est forclos et la décision en cause acquiert force obligatoire (ATA/413/2021 du 13 avril 2021 consid. 8b ; ATA/286/2020 du 10 mars 2020).</w:t>
      </w:r>
    </w:p>
    <w:p>
      <w:r>
        <w:t>- 15/22 - A/2981/2023</w:t>
      </w:r>
    </w:p>
    <w:p>
      <w:r>
        <w:rPr>
          <w:b/>
        </w:rPr>
        <w:t>E. 11</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 respect d'un délai de recours n'est en principe pas constitutive d'un formalisme excessif prohibé par l'art. 29 al. 1 Cst. (cf. ATF 125 V 65 consid. 1 ; arrêts du Tribunal fédéral 1C_586/2015 du 12 novembre 2015 consid. 2.3 ; 2C_56/2015 du 23 mai 2015 consid. 2.4 ; 1C_138/2015 du 25 mars 2015 consid. 3 ; 6B_507/2011 du 7 février 2012 consid. 2.3 ; 2D_18/2009 du 22 juin 2009 consid. 4.2).</w:t>
      </w:r>
    </w:p>
    <w:p>
      <w:r>
        <w:rPr>
          <w:b/>
        </w:rPr>
        <w:t>E. 12</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 Pour établir l'existence d'un cas de force majeure, le fardeau de la preuve incombe à celui qui s'en prévaut (ATA/544/2013 du 27 août 2013 et les références citées).</w:t>
      </w:r>
    </w:p>
    <w:p>
      <w:r>
        <w:rPr>
          <w:b/>
        </w:rPr>
        <w:t>E. 13</w:t>
      </w:r>
    </w:p>
    <w:p>
      <w:r>
        <w:t>Le bien-fondé d’un ordre de mise en conformité adressé au mauvais destinataire, soit en l’occurrence à l’un des copropriétaires alors que, s’agissant de parties communes, seule la communauté des copropriétaires pourrait agir est une question de fond (JTAPI/461/2023 du 27 avril 2023 confirmé par ATA/1174/2023 précité).</w:t>
      </w:r>
    </w:p>
    <w:p>
      <w:r>
        <w:rPr>
          <w:b/>
        </w:rPr>
        <w:t>E. 14</w:t>
      </w:r>
    </w:p>
    <w:p>
      <w:r>
        <w:t>En l’espèce, le courrier du 5 mai 2023 était, à juste titre, qualifié de décision et indiquait les voies et délais de recours. Par cette dernière, notifiée séparément à A______ SA et D______, le département ordonnait aux intéressées de rétablir une situation conforme au droit en procédant à : - L'achèvement des travaux situés dans les sous-sols conformément au concept en protection incendie établi par F______ SA du 21 novembre 2019 (pour A______ SA), respectivement par G______ du 1er décembre 2020 (pour D______) ; - L'achèvement des travaux relatifs à la gaine technique au niveau des paliers (obturation) ; - La pose d'un panneau d'affichage dans le hall du bâtiment, comportant les informations d'urgence, de manière à être visible de tous ; - L'évacuation complète des encombrants situés sur les paliers. Dans ce même délai, il leur était ordonné de produire un reportage photographique et tout élément attestant de la bonne exécution de cette décision, en leur précisant</w:t>
      </w:r>
    </w:p>
    <w:p>
      <w:r>
        <w:t>- 16/22 - A/2981/2023 qu’un contrôle serait effectué le 14 juin 2023, lors duquel leur présence était requise. S’il est vrai que dite décision n'a pas nommément été adressée à la communauté des copropriétaires mais individuellement aux deux seuls membres qui la constituent, il n'en demeure pas moins que ces derniers ont été informés du fait que ladite décision était également adressée à l’autre copropriétaire et qu’ils ont ainsi manifestement été en mesure de comprendre que tous deux étaient concernés. En outre, dite décision concernait tant des parties communes que privées. Partant, si la recourante estimait que cette décision était infondée, en particulier dès lors qu’elle lui imposait des obligations concernant des parties communes de l'immeuble pour lesquelles seule la communauté des copropriétaires pourrait agir, il lui appartenait de recourir à l’encontre de la décision du 5 mai 2023, la problématique liée à la copropriété alléguée relevant du fond. L’on relèvera au demeurant que la copropriété n’ayant jamais désigné d’administrateur, sa notification à la communauté des propriétaires ne pouvait dès lors l’être que séparément aux deux copropriétaires la constituant.</w:t>
      </w:r>
    </w:p>
    <w:p>
      <w:r>
        <w:t>Cela étant posé, il doit être constaté que la décision du 5 mai 2023 a été valablement notifiée, par courrier recommandé, à la recourante comme à la communauté des copropriétaires, via les deux copropriétaires qui la constituent. Le recours interjeté le 5 septembre 2023 contre cette décision, réputée reçue au plus tard sept jours après la première tentative infructueuse de distribution, est ainsi manifestement tardif ce que la recourante ne conteste pas en tant que tel. Au vu de ce qui précède, elle ne saurait par ailleurs se voir accorder une suspension ou restitution du délai de recours, les conditions pour ce faire n’étant manifestement pas remplies au vu des dispositions légales et de la jurisprudence rappelées ci-dessus.</w:t>
      </w:r>
    </w:p>
    <w:p>
      <w:r>
        <w:t>Pour le surplus, les vices qu'elle invoque à l'égard de cette décision, qui relèvent exclusivement du fond, ne sauraient conduire au constat de la nullité de celle-ci. L'argumentation qu'elle développe à ce sujet ne sera donc pas examinée.</w:t>
      </w:r>
    </w:p>
    <w:p>
      <w:r>
        <w:t>Dans ces conditions, le recours contre la décision du 5 mai 2023 (cause A/2981/2023) sera déclaré irrecevable. Il découle de ce qui précède que l’objet du litige se limite à la contestation de l'amende de CHF 5'000.- que le département a infligée à la recourante par décision du 4 juillet 2023, la présente procédure ne devant en effet pas être l'occasion, pour cette dernière, de se voir restituer les droits de partie auxquels elle est réputée avoir renoncés en omettant de recourir contre l'ordre du département du 5 mai 2023, entré en force.</w:t>
      </w:r>
    </w:p>
    <w:p>
      <w:r>
        <w:rPr>
          <w:b/>
        </w:rPr>
        <w:t>E. 15</w:t>
      </w:r>
    </w:p>
    <w:p>
      <w:r>
        <w:t>Sur le fond, la recourante conclut à l’annulation de l’amende de CHF 5'000.- infligée par le département, cette dernière se fondant sur des manquements qui ne pouvaient être de sa responsabilité. En effet, l'inexécution des points 1 et 2 de la décision du 4 juillet 2023 ressortait, pour le premier, des parties privatives d'un tiers copropriétaire et pour le second, de la communauté des copropriétaires dont elle</w:t>
      </w:r>
    </w:p>
    <w:p>
      <w:r>
        <w:t>- 17/22 - A/2981/2023 n’était qu'un des membres. Concernant le point 4, elle avait pris les mesures utiles, évacuant les encombrants, engageant un service de sécurité et adressant une information générale aux locataires. Les critères pris en compte pour déterminer la quotité de l'amende étaient de plus infondés. Elle avait immédiatement exécuté les parties de la décision qui lui étaient adressée, évacuant les encombrants et faisant réaliser les travaux sur les gaines techniques quand bien même ces derniers étaient du ressort de la communauté des copropriétaires. Elle avait pour le surplus constamment attiré l'attention de l'autorité sur le fait qu'elle ne pouvait pas, en qualité de copropriétaire des étages supérieurs, procéder de sa propre initiative aux travaux dans les sous-sols. Aucune faute ne pouvait dès lors lui être reprochée et elle ne pouvait en aucun cas être considérée comme contrevenante aux ordres donnés par le département au sens de l'art. 137 al. 1 let. c LCI.</w:t>
      </w:r>
    </w:p>
    <w:p>
      <w:r>
        <w:rPr>
          <w:b/>
        </w:rPr>
        <w:t>E. 16</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17</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rPr>
          <w:b/>
        </w:rPr>
        <w:t>E. 18</w:t>
      </w:r>
    </w:p>
    <w:p>
      <w:r>
        <w:t>Les amendes administratives prévues par les législations cantonales sont de nature pénale, car aucun critère ne permet de les distinguer clairement des contraventions</w:t>
      </w:r>
    </w:p>
    <w:p>
      <w:r>
        <w:t>- 18/22 - A/2981/2023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Pierre MOOR/Étienne POLTIER, Droit administratif : les actes administratifs et leur contrôle, vol. 2, 2011, p. 160 s. ch. 1.4.5.5).</w:t>
      </w:r>
    </w:p>
    <w:p>
      <w:r>
        <w:rPr>
          <w:b/>
        </w:rPr>
        <w:t>E. 19</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(ATA/886/2014 du 11 novembre 2014 ; ATA/147/2014 du 11 mars 2014).</w:t>
      </w:r>
    </w:p>
    <w:p>
      <w:r>
        <w:rPr>
          <w:b/>
        </w:rPr>
        <w:t>E. 20</w:t>
      </w:r>
    </w:p>
    <w:p>
      <w:r>
        <w:t>Selon la jurisprudence constante, l'administration doit faire preuve de sévérité afin d'assurer le respect de la loi et jouit d'un large pouvoir d'appréciation pour infliger une amende, de sorte que le juge ne la censure qu'en cas d'excès (ATA/611/2016 précité ; ATA/824/2015 du 11 août 2015 ; ATA/147/2014 du 11 mars 2014).</w:t>
      </w:r>
    </w:p>
    <w:p>
      <w:r>
        <w:rPr>
          <w:b/>
        </w:rPr>
        <w:t>E. 21</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10c et les références citées ; ATA/824/2015 du 11 août 2015 ; arrêt du Tribunal fédéral 6B_412/2014 du 27 janvier 2015 consid. 2.1 et les arrêts cités).</w:t>
      </w:r>
    </w:p>
    <w:p>
      <w:r>
        <w:rPr>
          <w:b/>
        </w:rPr>
        <w:t>E. 22</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23</w:t>
      </w:r>
    </w:p>
    <w:p>
      <w:r>
        <w:t>Enfin, l'amende doit respecter le principe de la proportionnalité garanti par l'art. 5 al. 2 Cst. (cf. ATA/313/2017 du 21 mars 2017 ; ATA/871/2015 du 25 août 2015 ; ATA/824/2015 du 11 août 2015), lequel commande que la mesure étatique soit nécessaire et apte à atteindre le but prévu et qu'elle soit raisonnable pour la personne</w:t>
      </w:r>
    </w:p>
    <w:p>
      <w:r>
        <w:t>- 19/22 - A/2981/2023 concernée (cf. ATF 140 I 257 consid. 6.3.1 ; 140 II 194 consid. 5.8.2 ; 139 I 218 consid. 4.3).</w:t>
      </w:r>
    </w:p>
    <w:p>
      <w:r>
        <w:rPr>
          <w:b/>
        </w:rPr>
        <w:t>E. 24</w:t>
      </w:r>
    </w:p>
    <w:p>
      <w:r>
        <w:t>A teneur de l’art. 121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de l’Association des établissements cantonaux d’assurance incendie (AEAI ; al. 2). Une construction, une installation et, d’une manière générale, toute chose doit être maintenue en tel état et utilisée de telle sorte que : a) sa présence, son exploitation ou son utilisation ne puisse, à l’égard des usagers, du voisinage ou du public : 1) ni porter atteinte aux conditions exigibles de sécurité et de salubrité, 2) ni être la cause d’inconvénients graves, 3) ni offrir des dangers particuliers (notamment incendie, émanations nocives ou explosions) par le fait que la surface de la parcelle sur laquelle elle est établie est insuffisante pour constituer une zone de protection; b) elle ne crée pas, par sa nature, sa situation ou le trafic que provoque sa destination ou son exploitation, un danger ou une gêne pour la circulation (al. 3).</w:t>
      </w:r>
    </w:p>
    <w:p>
      <w:r>
        <w:rPr>
          <w:b/>
        </w:rPr>
        <w:t>E. 25</w:t>
      </w:r>
    </w:p>
    <w:p>
      <w:r>
        <w:t>Selon l’art. 122 LCI, les propriétaires sont responsables, dans l’application de la présente loi et sous réserve des droits civils, de la sécurité et de la salubrité des constructions et installations.</w:t>
      </w:r>
    </w:p>
    <w:p>
      <w:r>
        <w:rPr>
          <w:b/>
        </w:rPr>
        <w:t>E. 26</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27</w:t>
      </w:r>
    </w:p>
    <w:p>
      <w:r>
        <w:t>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w:t>
      </w:r>
    </w:p>
    <w:p>
      <w:r>
        <w:t>- 20/22 - A/2981/2023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rPr>
          <w:b/>
        </w:rPr>
        <w:t>E. 28</w:t>
      </w:r>
    </w:p>
    <w:p>
      <w:r>
        <w:t>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w:t>
      </w:r>
    </w:p>
    <w:p>
      <w:r>
        <w:rPr>
          <w:b/>
        </w:rPr>
        <w:t>E. 29</w:t>
      </w:r>
    </w:p>
    <w:p>
      <w:r>
        <w:t>Dans un arrêt du 31 octobre 2023 (ATA/1174/2023), la chambre administrative de la Cour de justice (ci-après : chambre administrative) a notamment relevé que la question de la communication entre copropriétaires et des litiges survenant entre eux au sujet de travaux accomplis sans autorisation ou de la prise en charge de travaux à accomplir ressortissait au droit privé, et n’avait pas à être pris en compte par le département s’agissant d’obtenir le respect de normes de droit public de la construction. Le département pouvait également s’adresser à la recourante en sa qualité de perturbatrice par destination. Sa simple qualité de copropriétaire, au surplus majoritaire, d’un immeuble ne répondant pas aux normes de sécurité et exposant en permanence ses usagers à des dangers sérieux suffisait en effet à faire de la recourante une perturbatrice au sens de la jurisprudence suscitée aussi longtemps que des mesures n’étaient pas prises (consid. 8.4).</w:t>
      </w:r>
    </w:p>
    <w:p>
      <w:r>
        <w:rPr>
          <w:b/>
        </w:rPr>
        <w:t>E. 30</w:t>
      </w:r>
    </w:p>
    <w:p>
      <w:r>
        <w:t>En l'occurrence, la recourante, en sa qualité de copropriétaire de l’immeuble est responsable de la sécurité et de la salubrité liées à ce dernier, dans l’application de la présente loi et sous réserve des droits civils. Cette responsabilité vise tant les parties communes que ses parties privées de l’immeuble. Or, il ressort du constat sur place du 14 juin 2023, que la recourante n’a pas respecté l’ordre du 5 mai 2023, étant rappelé que ce dernier portait sur le respect de règles de sécurité et salubrité. La recourante ne conteste pas en tant que tels les faits relevés dans ledit constat mais explique, en substance, avoir pris des mesures concernant les encombrants, le panneau d'affichage, le respect des incombances concernant l’utilisation des parties communes, que les travaux de la gaine technique sont en cours d'exécution, qu’elle</w:t>
      </w:r>
    </w:p>
    <w:p>
      <w:r>
        <w:t>- 21/22 - A/2981/2023 n’est pas liée s’agissant des sous-sols puisque cette partie est exploitée par le copropriétaire et que s’agissant d'une propriété commune, toute décision doit découler d'un commun accord. Cela étant, comme rappelé ci-dessus, le département n'a pas à se soucier ni à s'immiscer dans les conflits de droit privé opposant des copropriétaires d'une PPE. Les difficultés invoquées par la recourante, que ce soit quant à sa situation de copropriétaire minoritaire (46%), quant aux agissements du copropriétaire majoritaire (54%) ou de ses locataires, ne permettent pas de l’exonérer de sa responsabilité et de son obligation de se conformer aux mesures ordonnées par le département (art. 131 LCI). En particulier, elle ne saurait simplement prétendre qu’elle n’aurait pas la maitrise des parties commune, dans la mesure où un copropriétaire peut prendre seul les mesures urgentes requises au sens de l’art. 647 al. 2 ch. 2 CC pour préserver la chose d’un dommage imminent ou s’aggravant (cf dans ce sens ATF 111 II 26 ; JT 1986 I 111 qui concernait la remise en état provisoire d’une conduite) et procéder aux actes d’administration courante au sens de l’art. 647a CC. Lorsqu’il agit dans ce cadre, le copropriétaire d’étage engage la communauté sans qu’aucun pouvoir de représentation particulier ne soit nécessaire (Arrêt de la Cour d'appel civil du Canton de Vaud CACI 12 août 2015/417 in JdT 2016 p. 56).</w:t>
      </w:r>
    </w:p>
    <w:p>
      <w:r>
        <w:t>Son comportement, ici pas omission, est en soi objectivement constitutif de l'infraction réprimée par l'art. 137 al. 1 let. c LCI et peut donc donner lieu au prononcé d'une amende. Il résulte en outre des différents évènements précités que c'est assurément avec conscience et volonté qu’elle n'a pas obtempéré dans le délai aux ordres du département, alors même que la décision y relative était entrée en force. Enfin, s'agissant du montant de l'amende, de CHF 5'000.-, en soi pas contesté, le tribunal constate qu'il se situe dans la fourchette basse de l'art. 137 al. 1 LCI et que la recourante n'a pas fait état de difficultés pécuniaires particulières l’empêchant de s'en acquitter.</w:t>
      </w:r>
    </w:p>
    <w:p>
      <w:r>
        <w:rPr>
          <w:b/>
        </w:rPr>
        <w:t>E. 31</w:t>
      </w:r>
    </w:p>
    <w:p>
      <w:r>
        <w:t>Partant, au vu de l'ensemble des circonstances, l’amende n'apparait pas disproportionnée et sera confirmée tant dans son principe que dans sa quotité.</w:t>
      </w:r>
    </w:p>
    <w:p>
      <w:r>
        <w:rPr>
          <w:b/>
        </w:rPr>
        <w:t>E. 32</w:t>
      </w:r>
    </w:p>
    <w:p>
      <w:r>
        <w:t>Mal fondé, le recours contre la décision du 4 juillet 2023 est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1’400.- ; il est couvert par les avances de frais versées à la suite du dépôt des recours.</w:t>
      </w:r>
    </w:p>
    <w:p>
      <w:r>
        <w:rPr>
          <w:b/>
        </w:rPr>
        <w:t>E. 34</w:t>
      </w:r>
    </w:p>
    <w:p>
      <w:r>
        <w:t>Vu l’issue du litige, aucune indemnité de procédure ne sera allouée (art. 87 al. 2 LPA).</w:t>
      </w:r>
    </w:p>
    <w:p>
      <w:r>
        <w:t>- 22/22 - A/2981/2023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