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JTAPI/59/2024 vom 25. Januar 2024</w:t>
      </w:r>
    </w:p>
    <w:p>
      <w:r>
        <w:t>GE Cour de justice, 2024-01-25, FR</w:t>
      </w:r>
    </w:p>
    <w:p>
      <w:r>
        <w:rPr>
          <w:b/>
        </w:rPr>
        <w:t xml:space="preserve">Quelle: </w:t>
      </w:r>
      <w:r>
        <w:t>https://mcp.opencaselaw.ch/entscheid/ge_gerichte_JTAPI_59_2024</w:t>
      </w:r>
    </w:p>
    <w:p>
      <w:r>
        <w:t>FR: GE_GERICHTE JTAPI/59/2024 du 25 janvier 2024</w:t>
      </w:r>
    </w:p>
    <w:p>
      <w:r>
        <w:t>IT: GE_GERICHTE JTAPI/59/2024 del 25 gennaio 2024</w:t>
      </w:r>
    </w:p>
    <w:p>
      <w:pPr>
        <w:pStyle w:val="Heading2"/>
      </w:pPr>
      <w:r>
        <w:t>Erwägungen</w:t>
      </w:r>
    </w:p>
    <w:p>
      <w:r>
        <w:rPr>
          <w:b/>
        </w:rPr>
        <w:t>E. 9</w:t>
      </w:r>
    </w:p>
    <w:p>
      <w:r>
        <w:t>Par acte du 6 juillet 2022 [recte : 2023], la ville a interjeté recours contre la décision du DT du 6 juin 2023 auprès du Tribunal administratif de première instance (ci-après : le tribunal), concluant à son annulation, sous suite de frais et dépens. La couverture du réseau étant suffisante, la nouvelle antenne ne se justifiait pas. L’absence de tout intérêt public à ériger une nouvelle installation de téléphonie mobile à l’emplacement choisi aurait dû conduire au refus de l’autorisation litigieuse. En outre, la couverture en 5G n’était améliorée que dans les espaces extérieurs, de manière limitée et dans un périmètre très restreint. Faute d’utilité, la pesée des intérêts à effectuer devait conduire à la constatation de la prépondérance de la protection du site. Une violation de la loi fédérale sur la protection de l’environnement du 7 octobre 1983 (LPE - RS 814.01) et du principe de précaution était également à déplorer. Rien n’indiquait que les pics d’émission de puissance autorisés dans le cas des antennes adaptatives, qui pouvaient entraîner un dépassement temporaire très conséquent de la VLInst, ne mettaient pas la santé en danger et un rayonnement constant d’une puissance donnée ne pouvait être considéré comme équivalent à un rayonnement moyen de la même puissance, comportant certes des périodes avec un rayonnement plus faible mais également des pics bien plus importants. L’ORNI distinguait d’ailleurs ces deux cas de figure dès lors qu’elle fixait des valeurs limites différentes pour les lieux de séjour momentanés où seule la VLI devait être respectée et les LUS où la VLInst - plus basse - devait être respectée. Or, la VLI devait être respectée en tout temps partout où des personnes pouvaient séjourner, même momentanément, car une atteinte à la santé, en particulier un effet thermique, était considérée comme prouvée à ce niveau d’immissions. Dans le cas des antennes adaptatives, dès lors que des pics pouvant dépasser considérablement la VLInst étaient admis, aucune garantie n’était donnée que les personnes, même soumises momentanément seulement à ce rayonnement, ne subiraient pas des atteintes à la santé. Il ressortait des indications données aux cantons par l’OFEV le 17 avril 2019 et du rapport du groupe de travail publié le 19 novembre 2019 que la téléphonie mobile avait de nombreux effets sur la santé, notamment sur les ondes cérébrales (développement de tumeurs suite à une</w:t>
      </w:r>
    </w:p>
    <w:p>
      <w:r>
        <w:t>- 6/19 - A/2289/2023 utilisation intensive du téléphone portable, cocancérogenèse dans l’expérimentation animale, circulation sanguine et métabolisme cérébral, dommages indirects sur l’ADN, apoptose, stress oxydatif, expression des gènes et des protéines). S’agissant de la fertilité, la dévaluation d’éléments de preuve limités à éléments insuffisants n’était pas suffisamment expliquée et ne se justifiait pas. D’autres effets étaient jugés comme insuffisamment prouvés, alors que les études publiées devaient inciter à la plus grande prudence. Une pleine application du principe de précaution était d’autant plus nécessaire que l’installation litigieuse était destinée à prendre place sur un immeuble sis dans une zone résidentielle accueillant de nombreux logements et à proximité immédiate de E______ (ci-après : E______), soit un lieu où une population jeune et sensible serait directement et durablement exposée. Or, nonobstant cette proximité, aucun relevé n’avait été effectué au nord de l’installation. Ainsi, au vu des valeurs importantes annoncées dans la fiche de données spécifique et de l’absence d’estimation de telles valeurs pour le bâtiment scolaire précité, le DT avait établi les faits de manière incomplète et abusé de son pouvoir d’appréciation en délivrant l’autorisation querellée.</w:t>
      </w:r>
    </w:p>
    <w:p>
      <w:r>
        <w:rPr>
          <w:b/>
        </w:rPr>
        <w:t>E. 10</w:t>
      </w:r>
    </w:p>
    <w:p>
      <w:r>
        <w:t>Par observations du 27 juillet 2023 accompagnées de pièces, B______ a conclu au rejet du recours, sous suite de frais. Ses arguments seront repris dans la partie « En droit » ci-après, en tant que de besoin.</w:t>
      </w:r>
    </w:p>
    <w:p>
      <w:r>
        <w:rPr>
          <w:b/>
        </w:rPr>
        <w:t>E. 11</w:t>
      </w:r>
    </w:p>
    <w:p>
      <w:r>
        <w:t>Dans ses observations du 11 septembre 2023 accompagnées de son dossier, le DT a conclu au rejet du recours, sous suite de frais. Ses arguments seront repris dans la partie « En droit » ci-après, en tant que de besoin.</w:t>
      </w:r>
    </w:p>
    <w:p>
      <w:r>
        <w:rPr>
          <w:b/>
        </w:rPr>
        <w:t>E. 12</w:t>
      </w:r>
    </w:p>
    <w:p>
      <w:r>
        <w:t>Par réplique du 4 octobre 2023 accompagnée de pièces, la ville, sous la plume du conseil désormais constitué pour sa défense, a persisté dans ses conclusions. La décision attaquée violait le principe de précaution ainsi que la LPE. Des études et analyses postérieures au rapport « téléphonie mobile et rayonnement » du 18 novembre 2019 avaient permis de mettre en évidence les effets sur la santé des rayonnements non ionisants (ci-après : RNI). Ainsi, selon la conclusion du rapport spécial (Newsletter) BERENIS de janvier 2021, même à faible dose, l’exposition aux champs électromagnétiques pouvait entraîner une rupture de l’équilibre oxydatif ; il était ainsi « fort possible que la santé des individus souffrant de telles atteintes soit touchée plus sévèrement » ; les études montraient que « les individus très jeunes ou même âgés réagissaient moins efficacement au stress oxydatif, ce que s’appliqu[ait] bien sûr aussi aux autres facteurs de stress provoquant le stress oxydatif. Toutefois, les investigations supplémentaires effectuées dans des conditions normalisées [étaient] nécessaires pour mieux comprendre et confirmer ces phénomènes et observations ». Selon la traduction libre de l’allemand du rapport complet établi par les universités de Bâle et de Berne (rapport de mai 2021, « Gibt es Hinweise auf vermehrten oxidativen Stress durch</w:t>
      </w:r>
    </w:p>
    <w:p>
      <w:r>
        <w:t>- 7/19 - A/2289/2023 elektromagnestische Felder ? »), « des indications d’une modification de l’équilibre oxydatif [avaient] été trouvées pour un grand nombre de types de cellules, de durée d’exposition et de dosage […], cela même dans la plage des valeurs limites ». De même, à teneur du rapport sur les effets des RNI sur les arthropodes établi par l’Université de Neuchâtel le 18 août 2022 puis complété le 25 avril 2023, les effets du RNI identifiés avec un niveau de confiance approprié (moyen ou haut) avaient parfois également été observés à des niveaux d’exposition inférieurs aux seuils réglementaires, bien que les expositions utilisées dans les différentes études ne reflétaient pas nécessairement les conditions d’exposition environnementales réelles. Il ressortait enfin d’une étude menée par la revue K-TIPP publiée le 20 octobre 2021 qu’environ 20 % des antennes émettaient au-delà des valeurs admises, avec des dépassements pouvant concerner jusqu’à 27% des antennes (pour le canton du Valais) avec des dépassements de puissance pouvant aller jusqu’à cinq fois la valeur maximale tolérée, étant précisé que le canton de Genève n’avait pas donné accès à ses données, ce qui ne plaidait pas en faveur du respect des normes dans ce canton. Le mécanisme de correction prévu par l’ORNI permettait aux antennes adaptatives d’émettre à une puissance dix fois supérieure à la VLI prévue pour une antenne conventionnelle de manière sporadique. Ces antennes devaient être équipées d’une limitation de puissance automatique visant à garantir que, durant l’exploitation, l’ERP moyenne sur une durée de six minutes ne dépassait pas l’ERP corrigée. Rien n’indiquait toutefois la puissance maximale à laquelle ces antennes pouvaient émettre, de sorte qu’il était très probable que durant de courtes périodes, elles émettent bien au-delà, et sans limitation, de la puissance ERP sans qu’il soit possible de savoir jusqu’à quelle puissance, le calcul étant exclusivement effectué sur une moyenne, de même que la puissance était automatiquement limitée afin d’obtenir cette moyenne, mais non de manière permanente. Enfin, le facteur de correction des antennes adaptatives devait être enregistré dans le système AQ des opérateurs, les limitations de puissance devaient être contrôlées par les opérateurs eux-mêmes et la seule sanction d’un dépassement était une suppression dans un délai de vingt-quatre heures. L’infrastructure litigieuse était destinée à prendre place à proximité immédiate de LUS tels qu’une école et des habitations denses. Il était d’autant plus probable que les émissions seraient supérieures aux VLI de l’ORNI que les antennes adaptatives ciblaient leur rayonnement sur les utilisateurs. Ainsi, lors des récréations notamment, les enfants de l’école voisine activeraient en même temps leurs téléphones portables, de sorte que les RNI se concentreraient sur la cour de récréation avec une intensité importante. Partant, la garantie des limites d’émission n’était pas donnée et, compte tenu des incertitudes quant aux conséquences des RNI sur la santé des êtres humains, le principe de précaution prévu par la LPE n’était pas respecté. Au regard de ce principe, une probabilité réelle, plausible et fondée sur l’expérience que les atteintes pourraient être</w:t>
      </w:r>
    </w:p>
    <w:p>
      <w:r>
        <w:t>- 8/19 - A/2289/2023 nuisibles ou incommodantes dans un proche avenir suffisait. Même si le Tribunal fédéral avait rendu plusieurs arrêts considérant que les VLI fixées par l’ORNI étaient suffisamment basses pour respecter le principe de précaution, il avait toutefois laissé transparaître certains doutes et rappelait qu’il se fondait sur l’état actuel des connaissances. Cette instance fédérale n’avait en outre notamment pas pris en compte les dernières modifications apportées à l’ORNI, ni le rapport de l’Université de Neuchâtel précité et n’avait pas non plus examiné si la définition du mode d’exploitation déterminant selon le ch. 64 de l’annexe 1 ORNI était conforme au principe de précaution. Or, ce principe était violé, compte tenu de tous les risques précités et du fait que la puissance d’émissions maximum des antennes adaptatives n’était pas connue à ce jour. En effet, in casu, seule la puissance apparente rayonnée ERPn figurait sur la fiche de données spécifique mais non la puissance maximum pendant les phases au cours desquelles l’antenne émettait, comme autorisé par l’ORNI, au-delà de l’ERPn. L’autorisation litigieuse portant ainsi sur une installation dont la puissance maximale réelle était ignorée, un élément essentiel faisait défaut et le préavis du SABRA, qui ne pouvait connaître cette information, ne saurait par conséquent être déterminant. Partant, faute de connaître la puissance maximale émise par l’installation litigieuse, le DT ne pouvait octroyer l’autorisation querellée. En tout état, quand bien même les valeurs d’émission seraient inférieures aux valeurs fixées par l’ORNI, il appartenait à l’autorité intimée d’examiner si cette ordonnance respectait elle- même le principe de précaution, ce qui n’était pas le cas.</w:t>
      </w:r>
    </w:p>
    <w:p>
      <w:r>
        <w:rPr>
          <w:b/>
        </w:rPr>
        <w:t>E. 13</w:t>
      </w:r>
    </w:p>
    <w:p>
      <w:r>
        <w:t>Par duplique du 25 octobre 2023, le DT a persisté dans ses conclusions. Le Tribunal fédéral avait eu l’occasion de préciser que l’ORNI réglementait de manière exhaustive la limitation préventive des émissions et que le concept et les valeurs limites fixées dans cette ordonnance étaient conformes aux principes de la LPE, compte tenu des connaissances scientifiques lacunaires disponibles pour ce qui concernait les RNI sur la santé humaine. La fixation des VLI autorisées reposaient sur des connaissances scientifiques établies ne laissant aucune place à la prise en compte d’études, tel que le rapport de l’Université de Neuchâtel sur l’effet des RNI, qui ne satisfaisaient pas aux critères scientifiques ou dont la fiabilité n’avait pas encore été vérifiée. Le contrôle effectué et l’examen du SABRA démontrait que les valeurs maximales autorisées (ERPn) étaient respectées in casu.</w:t>
      </w:r>
    </w:p>
    <w:p>
      <w:r>
        <w:rPr>
          <w:b/>
        </w:rPr>
        <w:t>E. 14</w:t>
      </w:r>
    </w:p>
    <w:p>
      <w:r>
        <w:t>Par duplique du 18 octobre 2023, B______ a persisté dans ses conclusions. Le principe de précaution était respecté. La Newsletter BERENIS précisait que des études expérimentales chez l’être humain et épidémiologiques étaient nécessaires pour évaluer le risque potentiel pour l’être humain et la Commission internationale de protection contre les RNI avait conclu, en 2020, qu’il n’existait aucune preuve d’effets sur la santé associés au stress oxydatif.</w:t>
      </w:r>
    </w:p>
    <w:p>
      <w:r>
        <w:t>- 9/19 - A/2289/2023</w:t>
      </w:r>
    </w:p>
    <w:p>
      <w:r>
        <w:rPr>
          <w:b/>
        </w:rPr>
        <w:t>E. 15</w:t>
      </w:r>
    </w:p>
    <w:p>
      <w:r>
        <w:t>Sur cette base, l'OFEV a publié le 23 février 2021 un document intitulé « Explications concernant les antennes adaptatives et leur évaluation selon l’ORNI » (ci-après: explications OFEV - https://www.newsd.admin.ch/newsd/ message/attachments/65389.pdf;). Il y est expressément indiqué que l'ORNI s’applique aussi bien à la technologie de téléphonie mobile de type 2G (GSM), 3G (UMTS), 4G (LTE) ou 5G (New Radio) (Explications OFEV, p. 3). Aussi en date du 23 février 2021, l'OFEV a publié un complément à la recommandation d'exécution de l'ORNI concernant les stations de base pour téléphonie mobile et raccordements sans fil (WLL) de l'OFEFP (actuellement : OFEV) de 2002 (ci-après: le complément – https://www.newsd.admin.ch/ newsd/message/attachments/65394.pdf).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AQ utilisés par les opérateurs (p. 6).</w:t>
      </w:r>
    </w:p>
    <w:p>
      <w:r>
        <w:rPr>
          <w:b/>
        </w:rPr>
        <w:t>E. 16</w:t>
      </w:r>
    </w:p>
    <w:p>
      <w:r>
        <w:t>De surcroît, le 24 mai 2022, l'OFEV a publié un rapport fédéral relatif aux mesures d'exposition aux rayonnements non ionisants occasionnés par les antennes 5G (Mesures d'exposition aux rayonnements non ionisants, Rapport annuel 2021, Consortium de projet SwissNIS, https://www.newsd.admin.ch/newsd/message/attachments/71991.pdf ; ci-après : le rapport annuel 2021 sur la 5G). Le rapport annuel 2021 décrit d'une part le concept de base et le mode de collecte des données, et présente d'autre part les premiers résultats des mesures effectuées. Il ressort de ce rapport que les valeurs mesurées sont nettement inférieures aux VL, déterminantes en ce qui concerne les effets sur la santé (rapport 2021 sur la 5G, p. 58). Une nouvelle installation de radiocommunications mobiles et son exploitation ne peuvent être approuvées que si, sur la base d'une prévision mathématique, il est assuré que les VL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w:t>
      </w:r>
    </w:p>
    <w:p>
      <w:r>
        <w:t>- 14/19 - A/2289/2023 l'antenne fonctionne en mode adaptatif ou non. Les données correspondantes servent de bases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rPr>
          <w:b/>
        </w:rPr>
        <w:t>E. 17</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VL ultérieurement, c'est-à-dire après la mise en service de l'installation (cf. ATF 130 II 32 consid. 2.4).</w:t>
      </w:r>
    </w:p>
    <w:p>
      <w:r>
        <w:rPr>
          <w:b/>
        </w:rPr>
        <w:t>E. 18</w:t>
      </w:r>
    </w:p>
    <w:p>
      <w:r>
        <w:t>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B______ a mis en place un tel système de sécurité.</w:t>
      </w:r>
    </w:p>
    <w:p>
      <w:r>
        <w:t>- 15/19 - A/2289/2023 Le Tribunal fédéral a reconnu le système AQ comme un instrument de contrôle performant et n'a pas considéré nécessaire de recourir à un contrôle par des mesures de construction (arrêt du Tribunal fédéral 1C_282/2008 du 7 avril 2009 consid. 3.5). Les VL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w:t>
      </w:r>
    </w:p>
    <w:p>
      <w:r>
        <w:rPr>
          <w:b/>
        </w:rPr>
        <w:t>E. 19</w:t>
      </w:r>
    </w:p>
    <w:p>
      <w:r>
        <w:t>Dans la mesure où la LPE et l'ORNI sont respectés, un projet ne peut être source d'inconvénients graves pour le voisinage au sens de l'art. 14 LCI (ATA/404/2016 du 10 mai 2016 consid. 10 ; ATA/609/2004 du 5 août 2004 consid. 4c).</w:t>
      </w:r>
    </w:p>
    <w:p>
      <w:r>
        <w:rPr>
          <w:b/>
        </w:rPr>
        <w:t>E. 20</w:t>
      </w:r>
    </w:p>
    <w:p>
      <w:r>
        <w:t>Enfin, selon une jurisprudence bien établie, le tribunal de céans observe une certaine retenue pour éviter de substituer sa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21</w:t>
      </w:r>
    </w:p>
    <w:p>
      <w:r>
        <w:t>En l'espèce, d'après la fiche de données spécifique au site du 27 septembre 2021 produite par B______ et sur laquelle se fonde l’autorisation querellée, la VLInst à respecter est celle prévue à l'art. 3 al. 3 let. c ORNI, soit 5.0 V/m. S'agissant du rayonnement dans les LUS les plus chargés, toutes les mesures présentent une intensité de champ électrique inférieure à la VLInst fixée à 5.0 V/m, quand bien même ce serait de justesse. Ces mesures ont été vérifiées par le SABRA, autorité spécialisée compétente, sans que celle-ci n'ait mis en doute leur véracité. Partant, en l'absence d'éléments indiquant le contraire, il n'y a pas lieu pour le tribunal de remettre en cause les mesures figurant dans cette fiche, validée par le SABRA, étant rappelé que, conformément à la jurisprudence mentionnée supra, il appartient au tribunal d’observer une certaine retenue afin d’éviter de substituer sa propre appréciation à celle des instances spécialisées lorsque l’autorité inférieure a suivi l’avis de celles-ci, ce qui est le cas en l’espèce, étant en outre rappelé que l’ensemble des autres instances spécialisées consultées se sont également prononcées favorablement. Globalement, la procédure suivie par le département n'est pas critiquable. Le permis de construire délivré garantit le respect des VL pertinentes, par le biais des conditions associées comprises dans le préavis du SABRA du 27 avril 2023, notamment l’obligation d’effectuer des mesures de contrôle lors de la réception,</w:t>
      </w:r>
    </w:p>
    <w:p>
      <w:r>
        <w:t>- 16/19 - A/2289/2023 aux LUS nos 3, 4, 5, 6 et 7, où les immissions sont supérieures à 80 % de la VLInst dans des directions proches du rayon principal, conformément à la recommandation de l’ORNI (OFEFP 2002, chap. 2.1.8). A en outre également été requise par ce service l’intégration de cette installation dans le système AQ de B______. Or, c'est précisément ce mécanisme de contrôle rétrospectif qui garantit que les calculs effectués à l'avance pourront être corrigés si nécessaire, au cas où la réalité ultérieure ne correspondrait pas aux hypothèses prévues. Cette façon de procéder respecte les dispositions légales et réglementaires citées plus haut et n’apparaît, contrairement aux allégations de la recourante, pas problématique, sauf à partir du postulat, non démontré au demeurant, que l’opérateur concerné ne se conformera pas aux conditions qui lui sont imposées. Il sied à cet égard de préciser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 comme le souhaite la recourante. L’allégation de la recourante selon laquelle la fiche de données spécifique au site serait lacunaire, notamment eu égard au fait qu’elle ne mentionne pas la puissance maximale à laquelle les antennes adaptatives concernées pourraient émettre, ne saurait conduire à une autre conclusion. Il ressort en effet du développement qui précède que les valeurs fixées par les dispositions légales et réglementaires applicables, dont le bien-fondé a été confirmé par la jurisprudence fédérale, sont in casu remplies. Partant, aucune disposition légale ni réglementaire n’imposait la présence d’informations complémentaires dans la fiche de données spécifique, ce que la recourante ne prétend d’ailleurs pas. Il sera en outre rappelé que l'examen de la légalité d'une autorisation de construire se fonde sur l'objet tel qu'autorisé, en partant du principe qu'il sera construit et exploité conformément à l'autorisation délivrée, faute d’éléments probants susceptibles de démontrer le contraire, non fournis en l’espèce. Le même raisonnement s’applique s’agissant des divers rapports et études cités par la recourante qui auraient, selon elle, dû être pris en compte pour en déduire l’existence d’un danger pour la santé en lien avec les RNI des antennes adaptatives, dès lors que, conformément à la jurisprudence exposée supra, le Tribunal fédéral a considéré qu’il n’existait, en l’état, pas d’indices suffisants permettant de retenir que l’utilisation d’antennes adaptatives conformément au cadre légal et réglementaire en vigueur présenterait un risque pour la santé. Quant à la présence à proximité de l’installation litigieuse de nombreux logements, situation constitutive, selon la recourante d’un risque accru, il sera rappelé qu’un certain nombre de LUS ont été dûment identifiés. En outre, il ressort des calculs effectués conformément aux recommandations de l'OFEV, reportés sur la fiche de données spécifique, que les valeurs limite prévues par l'ORNI n’y sont, comme vu supra, pas atteintes. La fiche de données spécifique au</w:t>
      </w:r>
    </w:p>
    <w:p>
      <w:r>
        <w:t>- 17/19 - A/2289/2023 site précise en outre, dans sa rubrique « Commentaires », que d’autres LUS situés dans le périmètre concerné, en sus des LUS nos 2 à 7, ont été évalués et que ceux- ci présentaient tous une valeur inférieure à celle des LUS nos 2 à 7. Ainsi, l’étage le plus exposé au ______[GE] présentait une valeur de 3,90 V/m, le bâtiment sis ______[GE] présentait une valeur de 4,21 V/m et l’étage le plus exposé au ______[GE] présentait une valeur de 3,47 V/m Partant, contrairement aux allégations de la recourante, rien ne laisse à penser que certains LUS situés à proximité de l’installation litigieuse auraient été écartés à tort. Au contraire, force est de constater que le SABRA s’est expressément penché sur la question des LUS figurant dans la fiche de données spécifique au site. En effet, cette instance spécialisée a initialement sollicité, dans son préavis du 7 avril 2022, la modification de la fiche de données spécifique au site afin d’y intégrer de nouveaux LUS, avant d’y renoncer implicitement en émettant le préavis favorable sous conditions du 27 avril 2023. En outre, il sera encore relevé que les modifications requises à ce titre par le SABRA portaient sur l’ajout d’un ou de plusieurs LUS sur les terrasses du bâtiment destiné à accueillir les antennes et non sur l’ajout de LUS en lien avec d’éventuels autres emplacements, soi-disant particulièrement sensibles selon la recourante, notamment la cour de récréation de E______. Ainsi, en qualifiant ce dernier emplacement de problématique au motif que l’intensité des RNI y serait particulièrement importante lors des pauses en raison de l’activation simultanée par les élèves de leurs téléphones portables, il apparaît que la recourante se contente de substituer sa propre appréciation à celle de l’instance spécialisée qui, comme vu supra, n’a pas jugé utile de solliciter des mesurages supplémentaires pour E______ et ses installations, étant en outre rappelé que, conformément à la jurisprudence citée supra, dans la mesure où la LPE et l'ORNI sont respectés, le projet autorisé ne peut être considéré comme une source d'inconvénients graves pour le voisinage. Partant, dès lors que les VLInst sont respectées dans le présent cas, il convient d'admettre que le principe de précaution, en lien avec la LPE, n'a pas été violé. Par conséquent, eu égard aux développements qui précèdent, le tribunal constate qu’en octroyant l'autorisation de construire querellée sur la base de la prévision que l'installation respecterait les VLInst, moyennant les réserves émises dans le préavis - favorable sous conditions - du SABRA du 27 avril 2023, la décision du département est conforme au droit fédéral.</w:t>
      </w:r>
    </w:p>
    <w:p>
      <w:r>
        <w:rPr>
          <w:b/>
        </w:rPr>
        <w:t>E. 22</w:t>
      </w:r>
    </w:p>
    <w:p>
      <w:r>
        <w:t>En conclusion, intégralement mal fondé, le recours sera rejeté.</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du même montant versée à la suite du dépôt du recours.</w:t>
      </w:r>
    </w:p>
    <w:p>
      <w:r>
        <w:t>- 18/19 - A/2289/2023 Vu l’issue du litige, aucune indemnité de procédure ne lui sera allouée (art. 87 al. 2 à 4 LPA et 6 RFPA).</w:t>
      </w:r>
    </w:p>
    <w:p>
      <w:r>
        <w:rPr>
          <w:b/>
        </w:rPr>
        <w:t>E. 24</w:t>
      </w:r>
    </w:p>
    <w:p>
      <w:r>
        <w:t>B______ n'ayant pas fait appel à un mandataire externe, aucune indemnité de procédure ne lui sera allouée (art. 87 al. 2 à 4 LPA et 6 RFPA). Il en ira de même s’agissant de C______, qui, bien que dûment informée de l’existence de la présente procédure, n’y a pas participé.</w:t>
      </w:r>
    </w:p>
    <w:p>
      <w:r>
        <w:t>- 19/19 - A/2289/2023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