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JTAPI/598/2024 vom 26. Juni 2024</w:t>
      </w:r>
    </w:p>
    <w:p>
      <w:r>
        <w:t>GE Cour de justice, 2024-06-26, FR</w:t>
      </w:r>
    </w:p>
    <w:p>
      <w:r>
        <w:rPr>
          <w:b/>
        </w:rPr>
        <w:t xml:space="preserve">Quelle: </w:t>
      </w:r>
      <w:r>
        <w:t>https://mcp.opencaselaw.ch/entscheid/ge_gerichte_JTAPI_598_2024</w:t>
      </w:r>
    </w:p>
    <w:p>
      <w:r>
        <w:t>FR: GE_GERICHTE JTAPI/598/2024 du 26 juin 2024</w:t>
      </w:r>
    </w:p>
    <w:p>
      <w:r>
        <w:t>IT: GE_GERICHTE JTAPI/598/2024 del 26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Pour qu’un recours soit recevable, encore faut-il que son auteur ait la qualité pour recourir.</w:t>
      </w:r>
    </w:p>
    <w:p>
      <w:r>
        <w:rPr>
          <w:b/>
        </w:rPr>
        <w:t>E. 4</w:t>
      </w:r>
    </w:p>
    <w:p>
      <w:r>
        <w:t>En matière d'installation de téléphonie mobile, ont qualité pour recourir toutes les personnes qui habitent dans un rayon en dehors duquel est produit un rayonnement assurément inférieur à 10 % de la valeur limite. Elles ne sont pas uniquement habilitées à se plaindre d'un dépassement des émissions ou des valeurs limites de l'installation sur leur propriété mais peuvent en général également remettre en question la légalité du projet de construction (ATF 133 II 409 consid. 1.3 ; Arrêt du Tribunal fédéral 1C.112/2007 du 29 août 2007 consid. 2 ; ATA/694/2012 du 16 octobre 2012 ; ATA/235/2008 du 20 mai 2008 ; Monika KOLZ, La loi fédérale sur la protection de l'environnement, jurisprudence de 2000 à 2005, DEP 2007, p. 247 ss, 321-322).</w:t>
      </w:r>
    </w:p>
    <w:p>
      <w:r>
        <w:rPr>
          <w:b/>
        </w:rPr>
        <w:t>E. 5</w:t>
      </w:r>
    </w:p>
    <w:p>
      <w:r>
        <w:t>En l'espèce, les recourants sont domiciliés à l'intérieur du périmètre d'opposition mentionné dans la fiche de données spécifique au site du 9 août 2022. Dès lors, ils disposent manifestement de la qualité pour recourir. Le recours est ainsi également recevable de ce point de vue.</w:t>
      </w:r>
    </w:p>
    <w:p>
      <w:r>
        <w:rPr>
          <w:b/>
        </w:rPr>
        <w:t>E. 5.15</w:t>
      </w:r>
    </w:p>
    <w:p>
      <w:r>
        <w:t>V/m. Dès lors que ces griefs reviennent à critiquer le système global d'implantation d'une telle installation, il se justifie de les examiner en même temps.</w:t>
      </w:r>
    </w:p>
    <w:p>
      <w:r>
        <w:rPr>
          <w:b/>
        </w:rPr>
        <w:t>E. 6</w:t>
      </w:r>
    </w:p>
    <w:p>
      <w:r>
        <w:t>À titre préalable, les recourants sollicitent qu'une expertise judiciaire visant à vérifier le respect des normes applicables, en particulier l’exactitude des calculs effectués par F______ soit ordonnée et à ce qu’il soit ordonné à F______ de</w:t>
      </w:r>
    </w:p>
    <w:p>
      <w:r>
        <w:t>- 9/19 - A/2022/2023 démontrer que la puissance émettrice de l’installation litigieuse ne pourra pas être augmentée à l’avenir et qu’elle respectera les exigences en matière de contrôle à long terme du respect des valeurs limites.</w:t>
      </w:r>
    </w:p>
    <w:p>
      <w:r>
        <w:rPr>
          <w:b/>
        </w:rPr>
        <w:t>E. 7</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w:t>
      </w:r>
    </w:p>
    <w:p>
      <w:r>
        <w:rPr>
          <w:b/>
        </w:rPr>
        <w:t>E. 8</w:t>
      </w:r>
    </w:p>
    <w:p>
      <w:r>
        <w:t>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9</w:t>
      </w:r>
    </w:p>
    <w:p>
      <w:r>
        <w:t>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rPr>
          <w:b/>
        </w:rPr>
        <w:t>E. 10</w:t>
      </w:r>
    </w:p>
    <w:p>
      <w:r>
        <w:t>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w:t>
      </w:r>
    </w:p>
    <w:p>
      <w:r>
        <w:rPr>
          <w:b/>
        </w:rPr>
        <w:t>E. 12</w:t>
      </w:r>
    </w:p>
    <w:p>
      <w:r>
        <w:t>Les recourants font valoir un grief de nature formelle lié à la violation de leur droit d'être entendu, dont le contenu a été rappelé ci-dessus.</w:t>
      </w:r>
    </w:p>
    <w:p>
      <w:r>
        <w:rPr>
          <w:b/>
        </w:rPr>
        <w:t>E. 13</w:t>
      </w:r>
    </w:p>
    <w:p>
      <w:r>
        <w:t>Selon les art. 3 al. 1 LCI et 17 al. 1 du règlement d’application de la loi sur les constructions et les installations diverses du 27 février 1978 (RCI – L 5 05.01), les demandes d'autorisation sont rendues publiques par une insertion dans la FAO. Pendant un délai de trente jours à compter de la publication, chacun peut consulter les demandes d'autorisation et les plans au département et lui transmettre ses observations par une déclaration écrite (art. 3 al. 2 LCI et 18 al. 1 RCI). Les autorisations sont publiées dans la FAO. Il est fait mention, le cas échéant, des dérogations accordées. Les personnes qui ont fait des observations en sont informées par simple avis (art. 3 al. 4 LCI).</w:t>
      </w:r>
    </w:p>
    <w:p>
      <w:r>
        <w:rPr>
          <w:b/>
        </w:rPr>
        <w:t>E. 14</w:t>
      </w:r>
    </w:p>
    <w:p>
      <w:r>
        <w:t>Selon l’art. 11 RPRNI - anciennement l’art. 15 RPRNI -, les personnes vivant à proximité sont informées de manière appropriée par le détenteur ou l’exploitant de l’implantation et des modifications des installations stationnaires de téléphonie mobile (al. 1). L’information comprend, cas échéant, les résultats d’une évaluation conjointe des émissions (al. 2).</w:t>
      </w:r>
    </w:p>
    <w:p>
      <w:r>
        <w:rPr>
          <w:b/>
        </w:rPr>
        <w:t>E. 15</w:t>
      </w:r>
    </w:p>
    <w:p>
      <w:r>
        <w:t>L’expression « de manière appropriée » employée dans la disposition susmentionnée ne signifie pas que l’information doive être portée individuellement et personnellement à la connaissance de chaque habitant vivant dans le voisinage d’une future installation ou que des séances d’informations spécifiques doivent être organisées à l’attention des concernés.</w:t>
      </w:r>
    </w:p>
    <w:p>
      <w:r>
        <w:rPr>
          <w:b/>
        </w:rPr>
        <w:t>E. 16</w:t>
      </w:r>
    </w:p>
    <w:p>
      <w:r>
        <w:t>En l’espèce, tant les personnes vivant à proximité de l’immeuble concerné par le projet querellé que, plus largement, la population de la ville de Genève, ont été dûment informées par la publication dans la FAO le ______ 2022 et de l’ouverture de l’enquête publique, laquelle a duré 30 jours, de l’existence du projet de l’intimée et du fait qu’ils avaient la possibilité de consulter le dossier du projet.</w:t>
      </w:r>
    </w:p>
    <w:p>
      <w:r>
        <w:rPr>
          <w:b/>
        </w:rPr>
        <w:t>E. 17</w:t>
      </w:r>
    </w:p>
    <w:p>
      <w:r>
        <w:t>Dans cette mesure, on ne voit pas quels intérêts des recourants ont été lésés et ils ne sauraient, dans le cadre du présent recours, se plaindre de la lésion d’intérêts d’autres personnes, dès lors que le recours d’un particulier formé dans l’intérêt général ou dans l’intérêt de tiers est irrecevable (ATF 133 II 468 consid. 1 ; 131 II 649 consid. 3.1 ; arrêt du Tribunal fédéral 1C_463/2007 du 29 février 2008 consid. 1.2 ; ATA/50/2012 du 24 janvier 2012 consid. 8 ; Thierry TANQUEREL, Manuel de droit administratif, 2018, ch. 1358 p. 456). Par conséquent, ce grief sera écarté.</w:t>
      </w:r>
    </w:p>
    <w:p>
      <w:r>
        <w:t>- 11/19 - A/2022/2023</w:t>
      </w:r>
    </w:p>
    <w:p>
      <w:r>
        <w:rPr>
          <w:b/>
        </w:rPr>
        <w:t>E. 18</w:t>
      </w:r>
    </w:p>
    <w:p>
      <w:r>
        <w:t>Les recourants se plaignant ensuite d'une violation de l'obligation de planifier en vertu des art. 2 et 8 LAT. L’art. 2 LAT fait obligation à la Confédération, au canton et aux communes d'établir des plans d'aménagement pour les tâches dont l'accomplissement a des effets sur l'organisation du territoire. L’art. 8 LAT prévoit que les cantons établissent un plan directeur dans lequel ils précisent au moins le cours que doit suivre l’aménagement de leur territoire (let. a), la façon de coordonner les activités qui ont des effets sur l’organisation du territoire, afin d’atteindre le développement souhaité (let. b) et une liste de priorités et les moyens à mettre en œuvre (let. c). La teneur très générale de ces dispositions n'implique en aucun cas une obligation spécifique de planification pour les antennes liées au réseau de télécommunication mobile.</w:t>
      </w:r>
    </w:p>
    <w:p>
      <w:r>
        <w:t>Il découle en revanche de la jurisprudence du Tribunal fédéral que les installations de communication mobile n'ont en principe pas besoin de faire l'objet d'une planification spéciale, en particulier lorsqu'elles sont érigées en zone constructible (ATF 142 I 26 consid. 4.2; ATF 138 II 173 consid. 5).</w:t>
      </w:r>
    </w:p>
    <w:p>
      <w:r>
        <w:t>Par ailleurs, ce type d'installations figure dans le cadastre répertoriant l'ensemble des installations existantes ou autorisées, librement accessible sur le SITG et qui permet d'obtenir une vue d'ensemble. Dans ces circonstances, il n'apparait pas qu'il existe dans la présente espèce une obligation de planification.</w:t>
      </w:r>
    </w:p>
    <w:p>
      <w:r>
        <w:t>Il en découle que ce grief est lui aussi infondé et qu'il devra être écarté.</w:t>
      </w:r>
    </w:p>
    <w:p>
      <w:r>
        <w:rPr>
          <w:b/>
        </w:rPr>
        <w:t>E. 19</w:t>
      </w:r>
    </w:p>
    <w:p>
      <w:r>
        <w:t>Les recourants se prévalent également d’une violation du principe de précaution, de la non-conformité du système de facteur de correction et du fait qu’il n’est pas certain que l’installation litigeuse serait intégrée au système AQ. Ils allèguent que les LUS nos 2 et 4 sont impactés par des LUS croisés, de sorte que le rayonnement cumulé dépasse les 5 V/m et que le LUS n° 7 est une chambre alors qu’il aurait dû être un living et qu’en conséquence la limite légale est dépassée de 4.99 V/m à</w:t>
      </w:r>
    </w:p>
    <w:p>
      <w:r>
        <w:rPr>
          <w:b/>
        </w:rPr>
        <w:t>E. 20</w:t>
      </w:r>
    </w:p>
    <w:p>
      <w:r>
        <w:t>Le développement du réseau de téléphonie mobile 5G s'inscrit dans un climat de tension entre intérêts publics contradictoires : d'un côté, la mise à disposition de la population d'un réseau mobile performant, et de l'autre, la protection de la santé de la population contre les rayonnements non ionisants (Joel DRITTENBASS, Risk- Based Approach als Konkretisierungsvariante des umweltschutzrechtlichen Vorsorgeprinzips : Angewendet am neuen 5G-Mobilfunkstandard, DEP 2021, p. 134 ss, p. 139 s.).</w:t>
      </w:r>
    </w:p>
    <w:p>
      <w:r>
        <w:rPr>
          <w:b/>
        </w:rPr>
        <w:t>E. 21</w:t>
      </w:r>
    </w:p>
    <w:p>
      <w:r>
        <w:t>En droit fédéral, la protection contre les effets nocifs ou gênants causés notamment par les rayonnements non ionisants issus des antennes de téléphonie mobile est régie par LPE et les ordonnances qui en découlent (cf. ATF 138 II 173 consid. 5.1 ; arrêt 1C_97/2018 du 3 septembre 2019 consid. 3.1 ; J. DRITTENBASS, op.cit., p. 140).</w:t>
      </w:r>
    </w:p>
    <w:p>
      <w:r>
        <w:t>- 12/19 - A/2022/2023</w:t>
      </w:r>
    </w:p>
    <w:p>
      <w:r>
        <w:rPr>
          <w:b/>
        </w:rPr>
        <w:t>E. 22</w:t>
      </w:r>
    </w:p>
    <w:p>
      <w:r>
        <w:t>Selon l'art. 1 al. 1 LPE, cette loi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w:t>
      </w:r>
    </w:p>
    <w:p>
      <w:r>
        <w:rPr>
          <w:b/>
        </w:rPr>
        <w:t>E. 23</w:t>
      </w:r>
    </w:p>
    <w:p>
      <w:r>
        <w:t>Pour l'évaluation des effets nocifs ou gênants, le Conseil fédéral fixe par voie d'ordonnance des VLI. Selon l'art. 14 let. a LPE, les VLI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w:t>
      </w:r>
    </w:p>
    <w:p>
      <w:r>
        <w:rPr>
          <w:b/>
        </w:rPr>
        <w:t>E. 24</w:t>
      </w:r>
    </w:p>
    <w:p>
      <w:r>
        <w:t>Sur la base de la délégation de compétence de l'art. 13 al. 1 LPE, le Conseil fédéral a édicté l'ORNI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VLI qui doivent être respectées partout où des personnes peuvent être présentes (art. 13 al. 1 et annexe 2 ORNI ; ATF 126 II 399 consid. 3a ; arrêt du Tribunal fédéral 1C_627/2019 du 6 octobre 2020 consid. 3.1).</w:t>
      </w:r>
    </w:p>
    <w:p>
      <w:r>
        <w:rPr>
          <w:b/>
        </w:rPr>
        <w:t>E. 25</w:t>
      </w:r>
    </w:p>
    <w:p>
      <w:r>
        <w:t>En outre, le Conseil fédéral a fixé des VLInst pour concrétiser le principe de précaution en vertu de l'art. 11 al. 2 LPE (art. 3 al. 6 et art. 4 al. 1, ainsi que l'annexe 1 ch. 64 ORNI). Les VLInst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VLInst, le Conseil fédéral a créé une marge de sécurité par rapport aux dangers avérés pour la santé (cf. ATF 128 II 378 consid. 6.2.2 ; arrêts du Tribunal fédéral 1C_627/2019 du 6 octobre 2020 consid. 3.1 ; 1C_576/2016 du 27 octobre 2017 consid. 3.5.1). Dans les LUS, les installations de radiocommunication mobile doivent toujours respecter la VLInst d'une installation donnée (art. 3 al. 3 et al. 6,</w:t>
      </w:r>
    </w:p>
    <w:p>
      <w:r>
        <w:t>- 13/19 - A/2022/2023 art. 4 al. 1 et annexe 1 ch. 65 ORNI ; cf. ATF 128 II 378 consid. 6.2.2 ; arrêt du Tribunal fédéral 1C_627/2019 du 6 octobre 2020 consid. 3.1).</w:t>
      </w:r>
    </w:p>
    <w:p>
      <w:r>
        <w:rPr>
          <w:b/>
        </w:rPr>
        <w:t>E. 26</w:t>
      </w:r>
    </w:p>
    <w:p>
      <w:r>
        <w:t>L'annexe 1 ch. 64 ORNI prévoit que la VLInst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w:t>
      </w:r>
    </w:p>
    <w:p>
      <w:r>
        <w:rPr>
          <w:b/>
        </w:rPr>
        <w:t>E. 27</w:t>
      </w:r>
    </w:p>
    <w:p>
      <w:r>
        <w:t>Ainsi, les VLI et VLInst de l'ORNI sont principalement adaptées à la protection de l'homme (cf. arrêts du Tribunal fédéral 1C_579/2017 du 18 juillet 2018 consid. 5.4 ; 1C_254/2017 du 5 janvier 2018 consid. 9.2 ; 1C_450/2010 du 12 avril 2011 consid. 3.2). La doctrine a au surplus relevé que les valeurs limites prévues dans l'ORNI étaient dix fois plus strictes que celles recommandées par la Commission internationale de protection contre les rayonnements non ionisants (Joel DRITTENBASS, op. cit., p. 138).</w:t>
      </w:r>
    </w:p>
    <w:p>
      <w:r>
        <w:rPr>
          <w:b/>
        </w:rPr>
        <w:t>E. 28</w:t>
      </w:r>
    </w:p>
    <w:p>
      <w:r>
        <w:t>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(cf. art. 14 LUS ; arrêts 1C_518/2018 du 14 avril 2020 consid. 5.1.1 ; 1C_348/2017 du 21 février 2018 consid. 4 ; 1C_118/2010 du 20 octobre 2010 consid. 4.2.3). Cela étant, vu la marge de manœuvre dont dispose le Conseil fédéral s'agissant de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encore récemment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 dessous des valeurs limites de l'ORNI (Martin RÖÖSLI, Gesundheitsgefährdungsabschätzung :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w:t>
      </w:r>
    </w:p>
    <w:p>
      <w:r>
        <w:t>- 14/19 - A/2022/2023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w:t>
      </w:r>
    </w:p>
    <w:p>
      <w:r>
        <w:rPr>
          <w:b/>
        </w:rPr>
        <w:t>E. 29</w:t>
      </w:r>
    </w:p>
    <w:p>
      <w:r>
        <w:t>Par ailleurs, la Cour européenne des droits de l’homme a en particulier confirmé, sous l'angle de l'art. 8 la Convention de sauvegarde des droits de l’homme et des libertés fondamentales du 4 novembre 1950 (CEDH - RS 0.101),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30</w:t>
      </w:r>
    </w:p>
    <w:p>
      <w:r>
        <w:t>De surcroît, le 24 mai 2022, l'OFEV a publié un rapport fédéral relatif aux mesures d'exposition aux rayonnements non ionisants occasionnés par les antennes 5G (Mesures d'exposition aux rayonnements non ionisants, Rapport annuel 2021, Consortium de projet SwissNIS, https://www.newsd.admin.ch/newsd/message/att achments/71991.pdf ; ci-après : le rapport annuel 2021 sur la 5G). Le rapport annuel 2021 décrit d'une part le concept de base et le mode de collecte des données, et présente d'autre part les premiers résultats des mesures effectuées. Il ressort de ce rapport que les valeurs mesurées sont inférieures aux valeurs limites déterminantes en ce qui concerne les effets sur la santé (rapport 2021 sur la 5G, p. 58).</w:t>
      </w:r>
    </w:p>
    <w:p>
      <w:r>
        <w:rPr>
          <w:b/>
        </w:rPr>
        <w:t>E. 31</w:t>
      </w:r>
    </w:p>
    <w:p>
      <w:r>
        <w:t>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VLInst mentionnées plus haut (ch. 64 annexe 1 ORNI).</w:t>
      </w:r>
    </w:p>
    <w:p>
      <w:r>
        <w:rPr>
          <w:b/>
        </w:rPr>
        <w:t>E. 32</w:t>
      </w:r>
    </w:p>
    <w:p>
      <w:r>
        <w:t>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 ; Joel DRITTENBASS, op. cit., p. 141-142).</w:t>
      </w:r>
    </w:p>
    <w:p>
      <w:r>
        <w:rPr>
          <w:b/>
        </w:rPr>
        <w:t>E. 33</w:t>
      </w:r>
    </w:p>
    <w:p>
      <w:r>
        <w:t>Selon l'art. 12 al. 2 ORNI, pour vérifier si la VLInst, au sens de l’annexe 1, n’est pas dépassée, l'autorité procède ou fait procéder à des mesures ou à des calculs, ou se base sur des données provenant de tiers. L'OFEV recommande des méthodes de mesure et de calcul appropriées.</w:t>
      </w:r>
    </w:p>
    <w:p>
      <w:r>
        <w:t>- 15/19 - A/2022/2023 Sur cette base, l'OFEV a publié le 23 février 2021 un document intitulé « Explications concernant les antennes adaptatives et leur évaluation selon l’ordonnance sur la protection contre le rayonnement non ionisant (ORNI) » (ci-après : explications OFEV - https://www.newsd.admin.ch/newsd/ message/attachments/65389.pdf ; consulté le 10 novembre 2021). Il y est expressément indiqué que l'ORNI s’applique aussi bien à la technologie de téléphonie mobile de type 2G (GSM), 3G (UMTS), 4G (LTE) ou 5G (New Radio) (Explications OFEV, p. 3).</w:t>
      </w:r>
    </w:p>
    <w:p>
      <w:r>
        <w:t>Aussi, en date du 23 février 2021, l'OFEV a publié un complément à la recommandation d'exécution de l'ordonnance sur la protection contre le rayonnement non ionisant concernant les stations de base pour téléphonie mobile et raccordements sans fil (WLL) de l'OFEFP (actuellement : OFEV) de 2002 (ci-après : le complément) https : // www.newsd.admin.ch/ newsd/ message/ attachments/ 65394.pdf ; consulté le 10 novembre 2021).</w:t>
      </w:r>
    </w:p>
    <w:p>
      <w:r>
        <w:rPr>
          <w:b/>
        </w:rPr>
        <w:t>E. 34</w:t>
      </w:r>
    </w:p>
    <w:p>
      <w:r>
        <w:t>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w:t>
      </w:r>
    </w:p>
    <w:p>
      <w:r>
        <w:rPr>
          <w:b/>
        </w:rPr>
        <w:t>E. 35</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w:t>
      </w:r>
    </w:p>
    <w:p>
      <w:r>
        <w:t>- 16/19 - A/2022/2023 rayonnements (art. 11 al. 2 let. a ORNI). Cela inclut notamment la puissance ERP (art. 3 al. 9 ORNI), y compris la direction du faisceau principal des antennes, et si l'antenne fonctionne en mode adaptatif ou non. Les données correspondantes servent de base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36</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w:t>
      </w:r>
    </w:p>
    <w:p>
      <w:r>
        <w:rPr>
          <w:b/>
        </w:rPr>
        <w:t>E. 37</w:t>
      </w:r>
    </w:p>
    <w:p>
      <w:r>
        <w:t>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w:t>
      </w:r>
    </w:p>
    <w:p>
      <w:r>
        <w:t>- 17/19 - A/2022/2023 paramètres relatifs aux antennes adaptatives ont été validé par l'OFCOM en date du 23 juin 2021 (Validierungszertifikat QSS Swisscom, accessible à l'adresse https://www.bafu.admin.ch/bafu/fr/home/themes/ electrosmog/ info-specialistes/ mesures-contre-l-electrosmog/assurance-de-la-qualite-en-ce-qui-concerne-le-respect-des- valeur.html ; consulté le 10 novembre 2021).</w:t>
      </w:r>
    </w:p>
    <w:p>
      <w:r>
        <w:rPr>
          <w:b/>
        </w:rPr>
        <w:t>E. 38</w:t>
      </w:r>
    </w:p>
    <w:p>
      <w:r>
        <w:t>Le Tribunal fédéral a reconnu le système d'assurance qualité comme un instrument de contrôle performant et n'a pas considéré nécessaire de recourir à un contrôle par des mesures de construction (arrêt du Tribunal fédéral 1C_282/2008 du 7 avril 2009 consid. 3.5).</w:t>
      </w:r>
    </w:p>
    <w:p>
      <w:r>
        <w:rPr>
          <w:b/>
        </w:rPr>
        <w:t>E. 39</w:t>
      </w:r>
    </w:p>
    <w:p>
      <w:r>
        <w:t>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rPr>
          <w:b/>
        </w:rPr>
        <w:t>E. 40</w:t>
      </w:r>
    </w:p>
    <w:p>
      <w:r>
        <w:t>En l'espèce, d'après la fiche de données spécifique au site du 9 août 2022, la VLInst à respecter est celle prévue à l'art. 3 al. 3 let. c ORNI, soit 5.0 V/m. Les LUS les plus chargés présentent tous une intensité de champ électrique inférieure à 5.0 V/m. Ces mesures ont été vérifiées par le SABRA, autorité spécialisée compétente, sans que celle-ci n'ait mis en doute leur véracité. En l'absence d'éléments indiquant le contraire, il n'y a pas lieu pour le tribunal de céans de les remettre en cause. Concernant le rayonnement dépassé sur les LUS n° 2 et 4, le tribunal retiendra que les antennes autorisées ne sont pas associées à un groupe d’antennes préalablement autorisées, notamment celles sis au chemin I______, 4______, lesquelles ne se situent pas dans le périmètre de celles du projet contesté, de sorte qu’il n’y a aucune raison d’additionner les V/m. Enfin, selon l’art. 3 al. 3 let. a ORNI, on entend par lieu à utilisation sensible, les locaux situés à l’intérieur d’un bâtiment dans lesquels des personnes séjournent régulièrement durant une période prolongée. La distinction entre « living » et chambre n’entre pas en considération, seul importe le critère du séjour durant une période prolongée. Dès lors, l’argumentaire des recourants à ce sujet tombe à faux. Globalement, à la lumière des données de la fiche de données spécifique au site du 9 août 2022, le permis de construire garantit le respect des valeurs limites pertinentes, notamment par le biais des conditions associées comprises dans le préavis du SABRA, en particulier une mesure de contrôle aux LUS n° 7 et une intégration de cette installation dans le système AQ de l'opérateur.</w:t>
      </w:r>
    </w:p>
    <w:p>
      <w:r>
        <w:t>À toutes fins utiles, il sied de rappeler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 Ainsi, en octroyant l'autorisation de construire sur la base de la prévision que l'installation respecterait les VLInst, moyennant les réserves émises dans le préavis du SABRA, et vu l'examen opéré a posteriori par cette instance de la fiche de données spécifique dans</w:t>
      </w:r>
    </w:p>
    <w:p>
      <w:r>
        <w:t>- 18/19 - A/2022/2023 le cadre de l'instruction de la présente procédure, la décision du département est conforme au droit fédéral.</w:t>
      </w:r>
    </w:p>
    <w:p>
      <w:r>
        <w:t>Partant, les VLInst sont respectées dans la présente espèce et dès lors le principe de précaution n'a pas été violé. Le grief est donc écarté.</w:t>
      </w:r>
    </w:p>
    <w:p>
      <w:r>
        <w:rPr>
          <w:b/>
        </w:rPr>
        <w:t>E. 41</w:t>
      </w:r>
    </w:p>
    <w:p>
      <w:r>
        <w:t>S'agissant de celui relatif à la conformité au droit du système de facteur de correction, du lissage temporel des immissions sur six minutes et de la non- conformité au droit supérieur de l'art. 62 al. 3 annexe I ORNI, il doit aussi être écarté. En effet, il convient de rappeler qu'en tant que norme de nature technique actualisée en fonction de l'état des connaissances scientifiques, l'ORNI intègre les évolutions liées à la 5G en les soumettant au principe de prévention, ainsi que cela résulte de la jurisprudence susmentionnée du Tribunal fédéral, laquelle a confirmé que ce système était conforme au droit.</w:t>
      </w:r>
    </w:p>
    <w:p>
      <w:r>
        <w:rPr>
          <w:b/>
        </w:rPr>
        <w:t>E. 42</w:t>
      </w:r>
    </w:p>
    <w:p>
      <w:r>
        <w:t>Enfin, concernant la prétendue absence d’assurance d'un système d'assurance qualité et de contrôle des valeurs limite sur le long terme, les recourants font en réalité un procès d'intention à la bénéficiaire de l'autorisation de construire, partant apparemment de l'idée qu'elle ne respectera pas les conditions posées par la décision litigieuse, lesquelles reprennent celles du SABRA et imposent précisément à l'intimée, à la fois d'intégrer l'installation litigieuse dans son système d'assurance qualité et de contrôler les valeurs limites sur le long terme, notamment s’agissant du LUS n° 7. Le tribunal ne peut examiner un grief qui se fonde uniquement sur l'hypothèse que l'autorisation en cause ne sera pas respectée (ATA/62/2020 du 21 janvier 2020 consid. 3), indépendamment de la question de l’accès aux diagrammes étant précisé que les recourants ne les ont pas requis ni durant la procédure ni devant le tribunal de céans.</w:t>
      </w:r>
    </w:p>
    <w:p>
      <w:r>
        <w:rPr>
          <w:b/>
        </w:rPr>
        <w:t>E. 43</w:t>
      </w:r>
    </w:p>
    <w:p>
      <w:r>
        <w:t>Mal fondé, le recours doit être rejeté.</w:t>
      </w:r>
    </w:p>
    <w:p>
      <w:r>
        <w:rPr>
          <w:b/>
        </w:rPr>
        <w:t>E. 44</w:t>
      </w:r>
    </w:p>
    <w:p>
      <w:r>
        <w:t>En application des art. 87 al. 1 LPA et 1 et 2 du règlement sur les frais, émoluments et indemnités en procédure administrative du 30 juillet 1986 (RFPA - E 5 10.03), les recourants, pris conjointement et solidairement, qui succombent, sont condamnées au paiement d’un émolument s'élevant à CHF 900.- ; il est couvert par l’avance de frais versée à la suite du dépôt du recours.</w:t>
      </w:r>
    </w:p>
    <w:p>
      <w:r>
        <w:rPr>
          <w:b/>
        </w:rPr>
        <w:t>E. 45</w:t>
      </w:r>
    </w:p>
    <w:p>
      <w:r>
        <w:t>F______ n'ayant pas fait appel à un mandataire externe, aucune indemnité de procédure ne lui sera allouée (art. 87 al. 2 à 4 LPA et 6 RFPA).</w:t>
      </w:r>
    </w:p>
    <w:p>
      <w:r>
        <w:t>- 19/19 - A/2022/2023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