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JTAPI/597/2024 vom 20. Juni 2024</w:t>
      </w:r>
    </w:p>
    <w:p>
      <w:r>
        <w:t>GE Cour de justice, 2024-06-20, FR</w:t>
      </w:r>
    </w:p>
    <w:p>
      <w:r>
        <w:rPr>
          <w:b/>
        </w:rPr>
        <w:t xml:space="preserve">Quelle: </w:t>
      </w:r>
      <w:r>
        <w:t>https://mcp.opencaselaw.ch/entscheid/ge_gerichte_JTAPI_597_2024</w:t>
      </w:r>
    </w:p>
    <w:p>
      <w:r>
        <w:t>FR: GE_GERICHTE JTAPI/597/2024 du 20 juin 2024</w:t>
      </w:r>
    </w:p>
    <w:p>
      <w:r>
        <w:t>IT: GE_GERICHTE JTAPI/597/2024 del 20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in SJ 2016 I 358 ; ATA/22/2024 du 9 janvier 2024 consid. 2 et les références citées).</w:t>
      </w:r>
    </w:p>
    <w:p>
      <w:r>
        <w:rPr>
          <w:b/>
        </w:rPr>
        <w:t>E. 3</w:t>
      </w:r>
    </w:p>
    <w:p>
      <w:r>
        <w:t>Pour qu’un recours soit recevable, encore faut-il que son auteur ait la qualité pour recourir.</w:t>
      </w:r>
    </w:p>
    <w:p>
      <w:r>
        <w:rPr>
          <w:b/>
        </w:rPr>
        <w:t>E. 3.1</w:t>
      </w:r>
    </w:p>
    <w:p>
      <w:r>
        <w:t>; arrêt du Tribunal fédéral 1C_463/2007 du 29 février 2008 consid. 1.2 ; ATA/50/2012 du 24 janvier 2012 consid. 8 ; Thierry TANQUEREL, Manuel de droit administratif, 2018, ch. 1358 p. 456). Par conséquent, ce grief sera écarté. 23. Le recourant se plaint ensuite d'une violation de l'obligation de planifier en vertu de l’art. 2 LAT. L’art. 2 LAT fait obligation à la Confédération, au canton et aux communes d'établir des plans d'aménagement pour les tâches dont l'accomplissement a des effets sur l'organisation du territoire. La teneur très générale de cette disposition n'implique en aucun cas une obligation spécifique de planification pour les antennes liées au réseau de télécommunication mobile.</w:t>
      </w:r>
    </w:p>
    <w:p>
      <w:r>
        <w:t>- 11/19 - A/2847/2023</w:t>
      </w:r>
    </w:p>
    <w:p>
      <w:r>
        <w:t>Il découle en revanche de la jurisprudence du Tribunal fédéral que les installations de communication mobile n'ont en principe pas besoin de faire l'objet d'une planification spéciale, en particulier lorsqu'elles sont érigées en zone constructible (ATF 142 I 26 consid. 4.2; ATF 138 II 173 consid. 5).</w:t>
      </w:r>
    </w:p>
    <w:p>
      <w:r>
        <w:t>Par ailleurs, ce type d'installations figure dans le cadastre répertoriant l'ensemble des installations existantes ou autorisées, librement accessible sur le SITG et qui permet d'obtenir une vue d'ensemble. Dans ces circonstances, il n'apparait pas qu'il existe dans la présente espèce une obligation de planification.</w:t>
      </w:r>
    </w:p>
    <w:p>
      <w:r>
        <w:t>Il en découle que ce grief est lui aussi infondé et qu'il devra être écarté.</w:t>
      </w:r>
    </w:p>
    <w:p>
      <w:r>
        <w:rPr>
          <w:b/>
        </w:rPr>
        <w:t>E. 4</w:t>
      </w:r>
    </w:p>
    <w:p>
      <w:r>
        <w:t>En matière d'installation de téléphonie mobile, ont qualité pour recourir toutes les personnes qui habitent dans un rayon en dehors duquel est produit un rayonnement assurément inférieur à 10 % de la valeur limite. Elles ne sont pas uniquement habilitées à se plaindre d'un dépassement des émissions ou des valeurs limites de l'installation sur leur propriété mais peuvent en général également remettre en question la légalité du projet de construction (ATF 133 II 409 consid. 1.3 ; Arrêt du Tribunal fédéral 1C.112/2007 du 29 août 2007 consid. 2 ; ATA/694/2012 du 16 octobre 2012 ; ATA/235/2008 du 20 mai 2008 ; Monika KOLZ, La loi fédérale sur la protection de l'environnement, jurisprudence de 2000 à 2005, DEP 2007, p. 247 ss, 321-322).</w:t>
      </w:r>
    </w:p>
    <w:p>
      <w:r>
        <w:rPr>
          <w:b/>
        </w:rPr>
        <w:t>E. 5</w:t>
      </w:r>
    </w:p>
    <w:p>
      <w:r>
        <w:t>En l'espèce, le recourant est domicilié à l'intérieur du périmètre d'opposition mentionné dans la fiche de données spécifique au site du 12 décembre 2022. Dès lors, il dispose manifestement de la qualité pour recourir.</w:t>
      </w:r>
    </w:p>
    <w:p>
      <w:r>
        <w:t>- 8/19 - A/2847/2023</w:t>
      </w:r>
    </w:p>
    <w:p>
      <w:r>
        <w:rPr>
          <w:b/>
        </w:rPr>
        <w:t>E. 6</w:t>
      </w:r>
    </w:p>
    <w:p>
      <w:r>
        <w:t>L’intimé conclut à l’irrecevabilité de la nouvelle conclusion prise par le recourant dans sa réplique, soit subsidiairement, si l’autorisation était maintenue, ordonner que des mesurages soient réalisés à l’emplacement du nouveau LUS et que la date, l’heure de l’exécution de ceux-ci ainsi que leurs résultats soient transmis au requérant et aux habitants.</w:t>
      </w:r>
    </w:p>
    <w:p>
      <w:r>
        <w:rPr>
          <w:b/>
        </w:rPr>
        <w:t>E. 7</w:t>
      </w:r>
    </w:p>
    <w:p>
      <w:r>
        <w:t>En procédure administrative genevoise, l’autorité établit les faits d’office. Elle n’est pas limitée par les allégués et les offres de preuves des parties (art. 19 LPA).</w:t>
      </w:r>
    </w:p>
    <w:p>
      <w:r>
        <w:rPr>
          <w:b/>
        </w:rPr>
        <w:t>E. 8</w:t>
      </w:r>
    </w:p>
    <w:p>
      <w:r>
        <w:t>L’autorité de recours doit en principe prendre en compte les faits et moyens de preuve qui surviennent après le dépôt du mémoire de recours et l’échange des écritures s’ils sont pertinents. De même, elle doit tenir compte de modifications des circonstances qui interviennent en cours de procédure (ATA/22/2024 du 9 janvier 2024 consid. 2 et l’arrêt cité ; Benoît BOVAY, Procédure administrative, 2e éd., 2015, p. 618).</w:t>
      </w:r>
    </w:p>
    <w:p>
      <w:r>
        <w:rPr>
          <w:b/>
        </w:rPr>
        <w:t>E. 9</w:t>
      </w:r>
    </w:p>
    <w:p>
      <w:r>
        <w:t>L’art. 68 LPA autorise le recourant, sauf exception prévue par la loi, à invoquer des motifs, des faits et des moyens de preuve nouveaux qui ne l’ont pas été dans les précédentes procédures.</w:t>
      </w:r>
    </w:p>
    <w:p>
      <w:r>
        <w:rPr>
          <w:b/>
        </w:rPr>
        <w:t>E. 10</w:t>
      </w:r>
    </w:p>
    <w:p>
      <w:r>
        <w:t>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w:t>
      </w:r>
    </w:p>
    <w:p>
      <w:r>
        <w:rPr>
          <w:b/>
        </w:rPr>
        <w:t>E. 11</w:t>
      </w:r>
    </w:p>
    <w:p>
      <w:r>
        <w:t>En l’espèce, le recourant a déposé une nouvelle conclusion lors de sa réplique alors qu’il aurait déjà pu la faire figurer dans son mémoire de recours. Partant, elle sera déclarée irrecevable.</w:t>
      </w:r>
    </w:p>
    <w:p>
      <w:r>
        <w:rPr>
          <w:b/>
        </w:rPr>
        <w:t>E. 12</w:t>
      </w:r>
    </w:p>
    <w:p>
      <w:r>
        <w:t>À titre préalable, le recourant sollicite qu'une expertise judiciaire visant à vérifier le respect des normes applicables, en particulier l’exactitude des calculs effectués par B______ soit ordonnée et à ce qu’il soit ordonné à B______ de démontrer que la puissance émettrice de l’installation litigieuse ne pourra pas être augmentée à l’avenir et qu’elle respectera les exigences en matière de contrôle à long terme du respect des valeurs limites. Il a également sollicité que le SABRA ou un autre organisme indépendant calcule le nouveau LUS.</w:t>
      </w:r>
    </w:p>
    <w:p>
      <w:r>
        <w:rPr>
          <w:b/>
        </w:rPr>
        <w:t>E. 13</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w:t>
      </w:r>
    </w:p>
    <w:p>
      <w:r>
        <w:rPr>
          <w:b/>
        </w:rPr>
        <w:t>E. 14</w:t>
      </w:r>
    </w:p>
    <w:p>
      <w:r>
        <w:t>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w:t>
      </w:r>
    </w:p>
    <w:p>
      <w:r>
        <w:t>- 9/19 - A/2847/2023 essentielles ou, à tout le moins, de s'exprimer sur son résultat, lorsque cela est de nature à influer sur la décision à rendre (ATF 145 I 167 consid. 4.1 ; 142 II 218 consid. 2.3 ; 140 I 285 consid. 6.3.1 et les arrêts cités).</w:t>
      </w:r>
    </w:p>
    <w:p>
      <w:r>
        <w:rPr>
          <w:b/>
        </w:rPr>
        <w:t>E. 15</w:t>
      </w:r>
    </w:p>
    <w:p>
      <w:r>
        <w:t>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rPr>
          <w:b/>
        </w:rPr>
        <w:t>E. 16</w:t>
      </w:r>
    </w:p>
    <w:p>
      <w:r>
        <w:t>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w:t>
      </w:r>
    </w:p>
    <w:p>
      <w:r>
        <w:rPr>
          <w:b/>
        </w:rPr>
        <w:t>E. 17</w:t>
      </w:r>
    </w:p>
    <w:p>
      <w:r>
        <w:t>En l'espèce, pour que le tribunal ordonne une expertise judiciaire visant en particulier à vérifier l'exactitude des calculs effectués par l'intimée, il conviendrait que des indices permettent de douter de cette exactitude. À défaut de tels doutes, il n'est en effet pas possible de remettre en question par voie d'expertise judiciaire, l'ensemble des décisions de nature technique soumises au contrôle des tribunaux. Or, de tels doutes n’existent pas en l’espèce. Il n'y a donc pas lieu de prononcer l'expertise requise. Quant au fait que B______ devrait démontrer qu'elle respectera à l'avenir les valeurs limites, on voit mal comment elle pourrait apporter une telle preuve et les recourants ne s'en expliquent pas non plus. Comme on le verra plus bas, l'examen de la légalité d'une autorisation de construire se fonde sur l'objet tel qu'il est autorisé, en partant de l'idée qu'il sera construit conformément à l'autorisation et exploité pareillement. Dans ces circonstances, le tribunal, procédant à une appréciation anticipée des preuves, considère que l’expertise requise ne serait pas de nature à changer sa conviction. Par conséquent, il n'y a pas lieu de procéder à ces mesures d'instruction, en soi non obligatoires. S’agissant du calcul du nouveau LUS, celui-ci a été effectué par le SABRA, comme l’a requis le recourant. Il en sera donné acte au département.</w:t>
      </w:r>
    </w:p>
    <w:p>
      <w:r>
        <w:rPr>
          <w:b/>
        </w:rPr>
        <w:t>E. 18</w:t>
      </w:r>
    </w:p>
    <w:p>
      <w:r>
        <w:t>Le recourant fait valoir un grief de nature formelle lié à la violation de son droit d'être entendu, dont le contenu a été rappelé ci-dessus.</w:t>
      </w:r>
    </w:p>
    <w:p>
      <w:r>
        <w:t>- 10/19 - A/2847/2023</w:t>
      </w:r>
    </w:p>
    <w:p>
      <w:r>
        <w:rPr>
          <w:b/>
        </w:rPr>
        <w:t>E. 19</w:t>
      </w:r>
    </w:p>
    <w:p>
      <w:r>
        <w:t>Selon les art. 3 al. 1 LCI et 17 al. 1 du règlement d’application de la loi sur les constructions et les installations diverses du 27 février 1978 (RCI – L 5 05.01), les demandes d'autorisation sont rendues publiques par une insertion dans la FAO. Pendant un délai de trente jours à compter de la publication, chacun peut consulter les demandes d'autorisation et les plans au département et lui transmettre ses observations par une déclaration écrite (art. 3 al. 2 LCI et 18 al. 1 RCI). Les autorisations sont publiées dans la FAO. Il est fait mention, le cas échéant, des dérogations accordées. Les personnes qui ont fait des observations en sont informées par simple avis (art. 3 al. 4 LCI).</w:t>
      </w:r>
    </w:p>
    <w:p>
      <w:r>
        <w:rPr>
          <w:b/>
        </w:rPr>
        <w:t>E. 20</w:t>
      </w:r>
    </w:p>
    <w:p>
      <w:r>
        <w:t>Selon l’art. 11 RPRNI - anciennement l’art. 15 RPRNI -, les personnes vivant à proximité sont informées de manière appropriée par le détenteur ou l’exploitant de l’implantation et des modifications des installations stationnaires de téléphonie mobile (al. 1). L’information comprend, cas échéant, les résultats d’une évaluation conjointe des émissions (al. 2).</w:t>
      </w:r>
    </w:p>
    <w:p>
      <w:r>
        <w:rPr>
          <w:b/>
        </w:rPr>
        <w:t>E. 21</w:t>
      </w:r>
    </w:p>
    <w:p>
      <w:r>
        <w:t>L’expression « de manière appropriée » employée dans la disposition susmentionnée ne signifie pas que l’information doive être portée individuellement et personnellement à la connaissance de chaque habitant vivant dans le voisinage d’une future installation ou que des séances d’informations spécifiques doivent être organisées à l’attention des concernés.</w:t>
      </w:r>
    </w:p>
    <w:p>
      <w:r>
        <w:rPr>
          <w:b/>
        </w:rPr>
        <w:t>E. 22</w:t>
      </w:r>
    </w:p>
    <w:p>
      <w:r>
        <w:t>En l’espèce, tant les personnes vivant à proximité de l’immeuble concerné par le projet querellé que, plus largement, la population de la ville de Genève, ont été dûment informées par la publication dans la FAO le ______ 2023 et de l’ouverture de l’enquête publique, laquelle a duré trente jours, de l’existence du projet de l’intimée et du fait qu’ils avaient la possibilité de consulter le dossier du projet. Le recourant a par ailleurs émis ses observations écrites durant l’enquête publique le</w:t>
      </w:r>
    </w:p>
    <w:p>
      <w:r>
        <w:rPr>
          <w:b/>
        </w:rPr>
        <w:t>E. 24</w:t>
      </w:r>
    </w:p>
    <w:p>
      <w:r>
        <w:t>Le recourant se prévaut également d’une violation du principe de précaution, de la non-conformité du système de facteur de correction et du fait qu’il n’est pas certain que l’installation litigeuse serait intégrée au système AQ. Dès lors que ces griefs reviennent à critiquer le système global d'implantation d'une telle installation, il se justifie de les examiner en même temps.</w:t>
      </w:r>
    </w:p>
    <w:p>
      <w:r>
        <w:rPr>
          <w:b/>
        </w:rPr>
        <w:t>E. 25</w:t>
      </w:r>
    </w:p>
    <w:p>
      <w:r>
        <w:t>Le développement du réseau de téléphonie mobile 5G s'inscrit dans un climat de tension entre intérêts publics contradictoires : d'un côté, la mise à disposition de la population d'un réseau mobile performant, et de l'autre, la protection de la santé de la population contre les rayonnements non ionisants (Joel DRITTENBASS, Risk- Based Approach als Konkretisierungsvariante des umweltschutzrechtlichen Vorsorgeprinzips : Angewendet am neuen 5G-Mobilfunkstandard, DEP 2021, p. 134 ss, p. 139 s.).</w:t>
      </w:r>
    </w:p>
    <w:p>
      <w:r>
        <w:rPr>
          <w:b/>
        </w:rPr>
        <w:t>E. 26</w:t>
      </w:r>
    </w:p>
    <w:p>
      <w:r>
        <w:t>En droit fédéral, la protection contre les effets nocifs ou gênants causés notamment par les rayonnements non ionisants issus des antennes de téléphonie mobile est régie par LPE et les ordonnances qui en découlent (cf. ATF 138 II 173 consid. 5.1 ; arrêt 1C_97/2018 du 3 septembre 2019 consid. 3.1 ; J. DRITTENBASS, op.cit., p. 140).</w:t>
      </w:r>
    </w:p>
    <w:p>
      <w:r>
        <w:rPr>
          <w:b/>
        </w:rPr>
        <w:t>E. 27</w:t>
      </w:r>
    </w:p>
    <w:p>
      <w:r>
        <w:t>Selon l'art. 1 al. 1 LPE, cette loi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w:t>
      </w:r>
    </w:p>
    <w:p>
      <w:r>
        <w:rPr>
          <w:b/>
        </w:rPr>
        <w:t>E. 28</w:t>
      </w:r>
    </w:p>
    <w:p>
      <w:r>
        <w:t>Pour l'évaluation des effets nocifs ou gênants, le Conseil fédéral fixe par voie d'ordonnance des VLI. Selon l'art. 14 let. a LPE, les VLI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w:t>
      </w:r>
    </w:p>
    <w:p>
      <w:r>
        <w:t>- 12/19 - A/2847/2023 Tribunal fédéral 1C_579/2017 du 18 juillet 2018 consid. 5.5 ; 1C_450/2010 du 12 avril 2011 consid. 3.3).</w:t>
      </w:r>
    </w:p>
    <w:p>
      <w:r>
        <w:rPr>
          <w:b/>
        </w:rPr>
        <w:t>E. 29</w:t>
      </w:r>
    </w:p>
    <w:p>
      <w:r>
        <w:t>Sur la base de la délégation de compétence de l'art. 13 al. 1 LPE, le Conseil fédéral a édicté l'ORNI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VLI qui doivent être respectées partout où des personnes peuvent être présentes (art. 13 al. 1 et annexe 2 ORNI ; ATF 126 II 399 consid. 3a ; arrêt du Tribunal fédéral 1C_627/2019 du 6 octobre 2020 consid. 3.1).</w:t>
      </w:r>
    </w:p>
    <w:p>
      <w:r>
        <w:rPr>
          <w:b/>
        </w:rPr>
        <w:t>E. 30</w:t>
      </w:r>
    </w:p>
    <w:p>
      <w:r>
        <w:t>En outre, le Conseil fédéral a fixé des VLInst pour concrétiser le principe de précaution en vertu de l'art. 11 al. 2 LPE (art. 3 al. 6 et art. 4 al. 1, ainsi que l'annexe 1 ch. 64 ORNI). Les VLInst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VLInst, le Conseil fédéral a créé une marge de sécurité par rapport aux dangers avérés pour la santé (cf. ATF 128 II 378 consid. 6.2.2 ; arrêts du Tribunal fédéral 1C_627/2019 du 6 octobre 2020 consid. 3.1 ; 1C_576/2016 du 27 octobre 2017 consid. 3.5.1). Dans les LUS, les installations de radiocommunication mobile doivent toujours respecter la VLInst d'une installation donnée (art. 3 al. 3 et al. 6, art. 4 al. 1 et annexe 1 ch. 65 ORNI ; cf. ATF 128 II 378 consid. 6.2.2 ; arrêt du Tribunal fédéral 1C_627/2019 du 6 octobre 2020 consid. 3.1).</w:t>
      </w:r>
    </w:p>
    <w:p>
      <w:r>
        <w:rPr>
          <w:b/>
        </w:rPr>
        <w:t>E. 31</w:t>
      </w:r>
    </w:p>
    <w:p>
      <w:r>
        <w:t>L'annexe 1 ch. 64 ORNI prévoit que la VLInst à respecter est de 4.0 V/m pour les installations qui émettent exclusivement dans la gamme de fréquence autour de 900 MHz ou dans des gammes de fréquence plus basses (let. a); 6.0 V/m pour les installations qui émettent exclusivement dans la gamme de fréquence autour de 1800 MHz ou dans des gammes de fréquence plus élevées (let. b); et de 5.0 V/m pour toutes les autres installations (let. c).</w:t>
      </w:r>
    </w:p>
    <w:p>
      <w:r>
        <w:rPr>
          <w:b/>
        </w:rPr>
        <w:t>E. 32</w:t>
      </w:r>
    </w:p>
    <w:p>
      <w:r>
        <w:t>Ainsi, les VLI et VLInst de l'ORNI sont principalement adaptées à la protection de l'homme (cf. arrêts du Tribunal fédéral 1C_579/2017 du 18 juillet 2018 consid. 5.4 ; 1C_254/2017 du 5 janvier 2018 consid. 9.2 ; 1C_450/2010 du 12 avril 2011 consid. 3.2). La doctrine a au surplus relevé que les valeurs limites prévues dans l'ORNI étaient dix fois plus strictes que celles recommandées par la Commission internationale de protection contre les rayonnements non ionisants (Joel DRITTENBASS, op. cit., p. 138).</w:t>
      </w:r>
    </w:p>
    <w:p>
      <w:r>
        <w:t>- 13/19 - A/2847/2023</w:t>
      </w:r>
    </w:p>
    <w:p>
      <w:r>
        <w:rPr>
          <w:b/>
        </w:rPr>
        <w:t>E. 33</w:t>
      </w:r>
    </w:p>
    <w:p>
      <w:r>
        <w:t>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(cf. art. 14 LUS ; arrêts 1C_518/2018 du 14 avril 2020 consid. 5.1.1 ; 1C_348/2017 du 21 février 2018 consid. 4 ; 1C_118/2010 du 20 octobre 2010 consid. 4.2.3). Cela étant, vu la marge de manœuvre dont dispose le Conseil fédéral s'agissant de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encore récemment confirmé qu'en l'état des connaissances actuelles, il n'existait pas d'indices en vertu desquels ces valeurs limites devraient être modifiées (arrêts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 dessous des valeurs limites de l'ORNI (Martin RÖÖSLI, Gesundheitsgefährdungsabschätzung :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w:t>
      </w:r>
    </w:p>
    <w:p>
      <w:r>
        <w:rPr>
          <w:b/>
        </w:rPr>
        <w:t>E. 34</w:t>
      </w:r>
    </w:p>
    <w:p>
      <w:r>
        <w:t>Par ailleurs, la Cour européenne des droits de l’homme a en particulier confirmé, sous l'angle de l'art. 8 la Convention de sauvegarde des droits de l’homme et des libertés fondamentales du 4 novembre 1950 (CEDH - RS 0.101),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35</w:t>
      </w:r>
    </w:p>
    <w:p>
      <w:r>
        <w:t>De surcroît, le 24 mai 2022, l'OFEV a publié un rapport fédéral relatif aux mesures d'exposition aux rayonnements non ionisants occasionnés par les antennes 5G (Mesures d'exposition aux rayonnements non ionisants, Rapport annuel 2021,</w:t>
      </w:r>
    </w:p>
    <w:p>
      <w:r>
        <w:t>- 14/19 - A/2847/2023 Consortium de projet SwissNIS, https://www.newsd.admin.ch/newsd/message/att achments/71991.pdf ; ci-après : le rapport annuel 2021 sur la 5G). Le rapport annuel 2021 décrit d'une part le concept de base et le mode de collecte des données, et présente d'autre part les premiers résultats des mesures effectuées. Il ressort de ce rapport que les valeurs mesurées sont inférieures aux valeurs limites déterminantes en ce qui concerne les effets sur la santé (rapport 2021 sur la 5G, p. 58).</w:t>
      </w:r>
    </w:p>
    <w:p>
      <w:r>
        <w:rPr>
          <w:b/>
        </w:rPr>
        <w:t>E. 36</w:t>
      </w:r>
    </w:p>
    <w:p>
      <w:r>
        <w:t>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VLInst mentionnées plus haut (ch. 64 annexe 1 ORNI).</w:t>
      </w:r>
    </w:p>
    <w:p>
      <w:r>
        <w:rPr>
          <w:b/>
        </w:rPr>
        <w:t>E. 37</w:t>
      </w:r>
    </w:p>
    <w:p>
      <w:r>
        <w:t>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 2.2 ; Joel DRITTENBASS, op. cit., p. 141-142).</w:t>
      </w:r>
    </w:p>
    <w:p>
      <w:r>
        <w:rPr>
          <w:b/>
        </w:rPr>
        <w:t>E. 38</w:t>
      </w:r>
    </w:p>
    <w:p>
      <w:r>
        <w:t>Selon l'art. 12 al. 2 ORNI, pour vérifier si la VLInst, au sens de l’annexe 1, n’est pas dépassée, l'autorité procède ou fait procéder à des mesures ou à des calculs, ou se base sur des données provenant de tiers. L'OFEV recommande des méthodes de mesure et de calcul appropriées. Sur cette base, l'OFEV a publié le 23 février 2021 un document intitulé « Explications concernant les antennes adaptatives et leur évaluation selon l’ordonnance sur la protection contre le rayonnement non ionisant (ORNI) » (ci- après : explications OFEV - https://www.newsd.admin.ch/newsd/ message/attachments/65389.pdf ; consulté le 10 novembre 2021). Il y est expressément indiqué que l'ORNI s’applique aussi bien à la technologie de téléphonie mobile de type 2G (GSM), 3G (UMTS), 4G (LTE) ou 5G (New Radio) (Explications OFEV, p. 3).</w:t>
      </w:r>
    </w:p>
    <w:p>
      <w:r>
        <w:t>Aussi, en date du 23 février 2021, l'OFEV a publié un complément à la recommandation d'exécution de l'ordonnance sur la protection contre le rayonnement non ionisant concernant les stations de base pour téléphonie mobile et raccordements sans fil (WLL) de l'OFEFP (actuellement : OFEV) de 2002 (ci-après : le complément) https : // www.newsd.admin.ch/ newsd/ message/ attachments/ 65394.pdf ; consulté le 10 novembre 2021).</w:t>
      </w:r>
    </w:p>
    <w:p>
      <w:r>
        <w:rPr>
          <w:b/>
        </w:rPr>
        <w:t>E. 39</w:t>
      </w:r>
    </w:p>
    <w:p>
      <w:r>
        <w:t>Avant la publication du complément, des antennes adaptatives avaient été autorisées sur la base du scénario du pire. Le complément définit désormais comment les paramètres techniques des antennes adaptatives doivent être déclarés</w:t>
      </w:r>
    </w:p>
    <w:p>
      <w:r>
        <w:t>- 15/19 - A/2847/2023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w:t>
      </w:r>
    </w:p>
    <w:p>
      <w:r>
        <w:rPr>
          <w:b/>
        </w:rPr>
        <w:t>E. 40</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 l'antenne fonctionne en mode adaptatif ou non. Les données correspondantes servent de base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rPr>
          <w:b/>
        </w:rPr>
        <w:t>E. 41</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w:t>
      </w:r>
    </w:p>
    <w:p>
      <w:r>
        <w:t>- 16/19 - A/2847/2023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w:t>
      </w:r>
    </w:p>
    <w:p>
      <w:r>
        <w:rPr>
          <w:b/>
        </w:rPr>
        <w:t>E. 42</w:t>
      </w:r>
    </w:p>
    <w:p>
      <w:r>
        <w:t>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 paramètres relatifs aux antennes adaptatives ont été validé par l'OFCOM en date du 23 juin 2021 (Validierungszertifikat QSS SWISSCOM, accessible à l'adresse https://www.bafu.admin.ch/bafu/fr/home/themes/ electrosmog/ info-specialistes/ mesures-contre-l-electrosmog/assurance-de-la-qualite-en-ce-qui-concerne-le-respect-des- valeur.html ; consulté le 10 novembre 2021).</w:t>
      </w:r>
    </w:p>
    <w:p>
      <w:r>
        <w:rPr>
          <w:b/>
        </w:rPr>
        <w:t>E. 43</w:t>
      </w:r>
    </w:p>
    <w:p>
      <w:r>
        <w:t>Le Tribunal fédéral a reconnu le système d'assurance qualité comme un instrument de contrôle performant et n'a pas considéré nécessaire de recourir à un contrôle par des mesures de construction (arrêt du Tribunal fédéral 1C_282/2008 du 7 avril 2009 consid. 3.5).</w:t>
      </w:r>
    </w:p>
    <w:p>
      <w:r>
        <w:rPr>
          <w:b/>
        </w:rPr>
        <w:t>E. 44</w:t>
      </w:r>
    </w:p>
    <w:p>
      <w:r>
        <w:t>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w:t>
      </w:r>
    </w:p>
    <w:p>
      <w:r>
        <w:rPr>
          <w:b/>
        </w:rPr>
        <w:t>E. 45</w:t>
      </w:r>
    </w:p>
    <w:p>
      <w:r>
        <w:t>En l'espèce, d'après la fiche de données spécifique au site du 12 décembre 2022, la VLInst à respecter est celle prévue à l'art. 3 al. 3 let. c ORNI, soit 5.0 V/m. Les LUS</w:t>
      </w:r>
    </w:p>
    <w:p>
      <w:r>
        <w:t>- 17/19 - A/2847/2023 les plus chargés présentent tous une intensité de champ électrique inférieure à 5.0 V/m. Ces mesures ont été vérifiées par le SABRA, autorité spécialisée compétente, sans que celle-ci n'ait mis en doute leur véracité. Ce dernier a également calculé le nouveau LUS mentionné par le recourant pour conclure que lui non plus ne dépassait pas la limite autorisée, étant précisé que selon la jurisprudence du Tribunal fédéral, l'autorité peut choisir les LUS à mesurer en tenant compte de motifs techniques et de son expérience (Arrêt du Tribunal fédéral, 1C_100/2021 du 14 février 2023 consid. 8.4.3). En l'absence d'éléments indiquant le contraire, il n'y a pas lieu pour le tribunal de céans de les remettre en cause. Globalement, à la lumière des données de la fiche de données spécifique au site du 12 décembre 2022, le permis de construire garantit le respect des valeurs limites pertinentes, notamment par le biais des conditions associées comprises dans le préavis du SABRA, en particulier une mesure de contrôle aux LUS nos 3, 4, 5, 7, 8 et 9 et une intégration de cette installation dans le système AQ de l'opérateur.</w:t>
      </w:r>
    </w:p>
    <w:p>
      <w:r>
        <w:t>À toutes fins utiles, il sied de rappeler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 Ainsi, en octroyant l'autorisation de construire sur la base de la prévision que l'installation respecterait les VLInst, moyennant les réserves émises dans le préavis du SABRA, et vu l'examen opéré a posteriori par cette instance de la fiche de données spécifique dans le cadre de l'instruction de la présente procédure, la décision du département est conforme au droit fédéral.</w:t>
      </w:r>
    </w:p>
    <w:p>
      <w:r>
        <w:t>Partant, les VLInst sont respectées dans la présente espèce, ce que ne conteste plus le recourant, et dès lors le principe de précaution n'a pas été violé. Le grief est donc écarté.</w:t>
      </w:r>
    </w:p>
    <w:p>
      <w:r>
        <w:rPr>
          <w:b/>
        </w:rPr>
        <w:t>E. 46</w:t>
      </w:r>
    </w:p>
    <w:p>
      <w:r>
        <w:t>S'agissant de celui relatif à la conformité au droit du système de facteur de correction, du lissage temporel des immissions sur six minutes et de la non- conformité au droit supérieur de l'art. 62 al. 3 annexe I ORNI, il doit aussi être écarté. En effet, il convient de rappeler qu'en tant que norme de nature technique actualisée en fonction de l'état des connaissances scientifiques, l'ORNI intègre les évolutions liées à la 5G en les soumettant au principe de prévention, ainsi que cela résulte de la jurisprudence susmentionnée du Tribunal fédéral, laquelle a confirmé que ce système était conforme au droit.</w:t>
      </w:r>
    </w:p>
    <w:p>
      <w:r>
        <w:rPr>
          <w:b/>
        </w:rPr>
        <w:t>E. 47</w:t>
      </w:r>
    </w:p>
    <w:p>
      <w:r>
        <w:t>Enfin, concernant la prétendue absence d’assurance d'un système d'assurance qualité et de contrôle des valeurs limite sur le long terme, les recourants font en réalité un procès d'intention à la bénéficiaire de l'autorisation de construire, partant apparemment de l'idée qu'elle ne respectera pas les conditions posées par la décision litigieuse, lesquelles reprennent celles du SABRA et imposent précisément à l'intimée, à la fois d'intégrer l'installation litigieuse dans son système d'assurance qualité et de contrôler les valeurs limites sur le long terme, notamment s’agissant des LUS nos 3, 4, 5, 7, 8 et 9. Le tribunal ne peut examiner un grief qui se fonde</w:t>
      </w:r>
    </w:p>
    <w:p>
      <w:r>
        <w:t>- 18/19 - A/2847/2023 uniquement sur l'hypothèse que l'autorisation en cause ne sera pas respectée (ATA/62/2020 du 21 janvier 2020 consid. 3).</w:t>
      </w:r>
    </w:p>
    <w:p>
      <w:r>
        <w:rPr>
          <w:b/>
        </w:rPr>
        <w:t>E. 48</w:t>
      </w:r>
    </w:p>
    <w:p>
      <w:r>
        <w:t>Mal fondé, le recours doit être rejeté.</w:t>
      </w:r>
    </w:p>
    <w:p>
      <w:r>
        <w:rPr>
          <w:b/>
        </w:rPr>
        <w:t>E. 49</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w:t>
      </w:r>
    </w:p>
    <w:p>
      <w:r>
        <w:rPr>
          <w:b/>
        </w:rPr>
        <w:t>E. 50</w:t>
      </w:r>
    </w:p>
    <w:p>
      <w:r>
        <w:t>B______ n'ayant pas fait appel à un mandataire externe, aucune indemnité de procédure ne lui sera allouée (art. 87 al. 2 à 4 LPA et 6 RFPA).</w:t>
      </w:r>
    </w:p>
    <w:p>
      <w:r>
        <w:t>- 19/19 - A/2847/2023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