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JTAPI/596/2024 vom 19. Juni 2024</w:t>
      </w:r>
    </w:p>
    <w:p>
      <w:r>
        <w:t>GE Cour de justice, 2024-06-19, FR</w:t>
      </w:r>
    </w:p>
    <w:p>
      <w:r>
        <w:rPr>
          <w:b/>
        </w:rPr>
        <w:t xml:space="preserve">Quelle: </w:t>
      </w:r>
      <w:r>
        <w:t>https://mcp.opencaselaw.ch/entscheid/ge_gerichte_JTAPI_596_2024</w:t>
      </w:r>
    </w:p>
    <w:p>
      <w:r>
        <w:t>FR: GE_GERICHTE JTAPI/596/2024 du 19 juin 2024</w:t>
      </w:r>
    </w:p>
    <w:p>
      <w:r>
        <w:t>IT: GE_GERICHTE JTAPI/596/2024 del 19 giugno 2024</w:t>
      </w:r>
    </w:p>
    <w:p>
      <w:pPr>
        <w:pStyle w:val="Heading2"/>
      </w:pPr>
      <w:r>
        <w:t>Erwägungen</w:t>
      </w:r>
    </w:p>
    <w:p>
      <w:r>
        <w:rPr>
          <w:b/>
        </w:rPr>
        <w:t>E. 12</w:t>
      </w:r>
    </w:p>
    <w:p>
      <w:r>
        <w:t>et 10 mois en 2008 et 2009 et moins de six mois en 2010 puis de 2012 à 2014. Pour le surplus, aucune pièce utile n’atteste d’une activité en 2011 et à partir de 2015. Il ressort en revanche du dossier qu’il a été domicilié en Allemagne en 2015, pays dans lequel il a déposé une demande d’asile. Il a par ailleurs expliqué avoir, dès 2015, travaillé à droite à gauche et pas tous les jours, pour des sociétés qui n’existaient plus et dont il ne se rappelait plus du nom. Partant, faute d’avoir, pour le surplus, démontré qu’il séjournait à Genève également lorsqu’il n’y travaillait pas, le tribunal retiendra que la condition de dix ans de séjour continu en Suisse n’était pas remplie au jour du dépôt de sa demande de régularisation. Pour ce motif, le recourant ne peut donc pas obtenir une autorisation de séjour sur la base des critères cumulatifs - stricts et sans dérogation possible - retenus dans le cadre de cette opération.</w:t>
      </w:r>
    </w:p>
    <w:p>
      <w:r>
        <w:t>Sous l’angle du cas de rigueur, si l’on retient que le recourant est arrivé en Suisse en 2001, soit il y a 23 ans, comme vu ci-dessus, la continuité de son séjour depuis lors n’a pas été démontrée. Or, conformément à la jurisprudence rappelée plus haut, la notion d'intégration rattachée à la durée du séjour implique que la personne concernée implante véritablement son centre de vie en Suisse et qu'elle ne quitte plus ce pays, hormis pour de courts voyages à l'extérieur. Il doit également être relevé que le recourant n'a jamais bénéficié d'un quelconque titre de séjour et que depuis le dépôt de sa demande de régularisation, le 26 décembre 2018, son séjour se poursuit au bénéfice d'une simple tolérance. Il ne peut dès lors tirer parti de la seule durée de son séjour en Suisse, qui doit en l'occurrence être fortement relativisée, pour bénéficier d'une dérogation aux conditions d’admission. Il doit en outre être relevé qu’arrivé en Suisse à l’âge de 34 ans, le recourant a vécu la majeure partie de son existence dans son pays d'origine, notamment son enfance, son adolescence, période essentielle pour la formation de la personnalité, et une grande partie de sa vie d’adulte. Il a en outre manifestement gardé des attaches avec sa patrie, dont il connait parfaitement les us et coutumes, puisqu’y vit sa famille proche, notamment son épouse, ses deux enfants, son père et deux frères.</w:t>
      </w:r>
    </w:p>
    <w:p>
      <w:r>
        <w:t>Compte tenu de ce qui précède, il n'est pas nécessaire d'évoquer en détail la question de l'intégration socio-professionnelle du recourant. Le tribunal se contentera d'insister sur le fait qu'au sens de la jurisprudence rappelée plus haut, seule une intégration exceptionnelle, et non pas le simple fait d'avoir déployé une activité lucrative sans dépendre de l'aide sociale ni accumuler de dettes, peut permettre dans certains cas d'admettre un cas individuel d'extrême gravité malgré que la personne concernée ne séjourne pas en Suisse de manière continue depuis une longue durée. Dans le cas du recourant, quand bien même son intégration serait qualifiée de bonne sous l'angle socio-professionnel, elle demeure néanmoins ordinaire et ne correspond pas au caractère exceptionnel rappelé plus haut. L’on relèvera pour le surplus que le recourant s’est refusé à donner son adresse à Genève, ce qui ne</w:t>
      </w:r>
    </w:p>
    <w:p>
      <w:r>
        <w:t>- 14/16 - A/590/2024 permet pas de vérifier s’il dispose effectivement d’un lieu de vie sur le territoire du canton.</w:t>
      </w:r>
    </w:p>
    <w:p>
      <w:r>
        <w:t>Bien que l'on puisse imaginer que la réintégration du recourant dans son pays d'origine ne sera pas simple, cette circonstance n'apparaît pas, à teneur du recours, liée à des circonstances personnelles, mais bien davantage aux conditions socio-économiques prévalant au Kosovo. Le recourant a de plus toujours des attaches au Kosovo, puisqu’y vivent notamment sa femme et ses deux enfants, son père et deux frères. Il pourra ainsi compter sur leur soutien, à tout le moins logistique. Partant, il n'apparaît pas que la réintégration du recourant dans son pays d'origine soit fortement compromise ni qu’un départ de Suisse constituerait un déracinement. S’il se heurtera sans doute à quelques difficultés de réadaptation, il ne démontre pas que celles-ci seraient plus graves pour lui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Par ailleurs, les diverses expériences professionnelles acquises en Suisse par le recourant ainsi que ses connaissances en langue française pourront constituer des atouts susceptibles de favoriser sa réintégration sur le marché du travail de son pays, étant souligné qu'il est en bonne santé. Enfin, il faut rappeler que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Ainsi, au vu de son statut précaire en Suisse, le recourant ne pouvait à aucun moment ignorer qu'il risquait d'être renvoyé dans son pays d'origine. Au vu de ce qui précède, l’OCPM n’a pas violé la LEI ni excédé ou abusé de son pouvoir d’appréciation en rejetant la demande de régularisation des conditions de séjour du recourant. Dans ces conditions, le tribunal, qui doit respecter la latitude de jugement conférée à l'OCPM, ne saurait en corriger le résultat en fonction d'une autre conception, sauf à statuer en opportunité, ce que la loi lui interdit de faire (art. 61 al. 2 LPA). 22.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t>- 15/16 - A/590/2024 23. En l’espèce, dès lors qu'il a refusé de délivrer une autorisation de séjour au recourant, l'OCPM devait ordonner son renvoi de Suisse en application de l'art. 64 al. 1 let. c LEI. Aucun élément ne laisse pour le surplus supposer que l'exécution de cette mesure se révélerait impossible, illicite ou inexigible. 24. Compte tenu de ce qui précède, le recours, mal fondé, sera rejeté. 25.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26. En vertu des art. 89 al. 2 et 111 al. 2 de la loi sur le Tribunal fédéral du 17 juin 2005 (LTF - RS 173.110), le présent jugement sera communiqué au SEM.</w:t>
      </w:r>
    </w:p>
    <w:p>
      <w:r>
        <w:t>- 16/16 - A/590/2024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