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JTAPI/595/2025 vom 2. Juni 2025</w:t>
      </w:r>
    </w:p>
    <w:p>
      <w:r>
        <w:t>GE Cour de justice, 2025-06-02, FR</w:t>
      </w:r>
    </w:p>
    <w:p>
      <w:r>
        <w:rPr>
          <w:b/>
        </w:rPr>
        <w:t xml:space="preserve">Quelle: </w:t>
      </w:r>
      <w:r>
        <w:t>https://mcp.opencaselaw.ch/entscheid/ge_gerichte_JTAPI_595_2025</w:t>
      </w:r>
    </w:p>
    <w:p>
      <w:r>
        <w:t>FR: GE_GERICHTE JTAPI/595/2025 du 2 juin 2025</w:t>
      </w:r>
    </w:p>
    <w:p>
      <w:r>
        <w:t>IT: GE_GERICHTE JTAPI/595/2025 del 2 giugno 2025</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La recourante critique en premier lieu la procédure effectuée par l'AFC-GE et conteste en particulier son droit de procéder à une taxation d'office.</w:t>
      </w:r>
    </w:p>
    <w:p>
      <w:r>
        <w:rPr>
          <w:b/>
        </w:rPr>
        <w:t>E. 4</w:t>
      </w:r>
    </w:p>
    <w:p>
      <w:r>
        <w:t>Le tribunal relève à cet égard que cette question n'a aucun enjeu matériel s'agissant des taxations litigieuses, puisque le bénéfice taxé correspond à celui qui ressort des comptes déposés par la recourante, sous réserve d'une correction minime qui n'est contestée, ni dans son principe, ni dans sa quotité.</w:t>
      </w:r>
    </w:p>
    <w:p>
      <w:r>
        <w:rPr>
          <w:b/>
        </w:rPr>
        <w:t>E. 5</w:t>
      </w:r>
    </w:p>
    <w:p>
      <w:r>
        <w:t>Il convient toutefois de souligner que les rappels recommandés qui avaient été envoyés le 12 mai et le 10 novembre 2022 à la recourante mentionnent expressément que, faute de réponse à la demande de renseignements, une taxation d'office pourra être opérée avec la citation des dispositions légales pertinentes. Contrairement à ce qu'affirme cette dernière, les conditions formelles fixées par la loi (art. 130 al. 2 LIFD et 37 LPFisc) ont été parfaitement respectées en l'espèce par l'AFC-GE.</w:t>
      </w:r>
    </w:p>
    <w:p>
      <w:r>
        <w:rPr>
          <w:b/>
        </w:rPr>
        <w:t>E. 6</w:t>
      </w:r>
    </w:p>
    <w:p>
      <w:r>
        <w:t>Sur le fond, la recourante demande la déduction d'une provision ou d'une perte sur une débitrice qui n'a pas été enregistrée dans les comptes 2018 annexés à sa déclaration.</w:t>
      </w:r>
    </w:p>
    <w:p>
      <w:r>
        <w:t>- 6/8 - A/2488/2024</w:t>
      </w:r>
    </w:p>
    <w:p>
      <w:r>
        <w:rPr>
          <w:b/>
        </w:rPr>
        <w:t>E. 7</w:t>
      </w:r>
    </w:p>
    <w:p>
      <w:r>
        <w:t>"L'admissibilité d'une provision au plan fiscal suppose la réalisation de deux conditions cumulatives. Il faut d'une part qu'elle soit justifiée par l'usage commercial et d'autre part qu'elle ait été dûment comptabilisée (REICH/ZÜGER/BETSCHART, in Kommentar zum Bundesgesetz über die direkte Bundessteuer [DBG], 2e éd. 2017, n° 7 ss ad art. 29 DBG; REICH/VON AH, in op. cit., n° 20 ad art. 10 StHG; DANON, in op. cit., n° 9 ad art. 63 LIFD). Si une provision n'a pas été comptabilisée, sa prise en compte au plan fiscal est en principe exclue. Selon LOCHER, l'admission au plan fiscal d'une provision non comptabilisée doit néanmoins intervenir si cette absence de comptabilisation viole une norme impérative du droit commercial (PETER LOCHER, Kommentar zum DBG, I. Teil, 2004, n° 17 ad art. 29 LIFD; cf. aussi JÜRG STOLL, Die Rückstellung im Handels- und Steuerrecht, 1992, p. 231). Une telle correction du bilan ("Bilanzberichtigung") ne peut toutefois être admise qu'à titre exceptionnel, étant donné la liberté d'appréciation du contribuable (cf. REICH/ZÜGER/BETSCHART, in op. cit., n° 7 ad art. 29 DBG). Le Tribunal fédéral a par ailleurs récemment souligné qu'une correction du bilan ne pouvait pas intervenir pour compenser une omission comptable imputable au contribuable (arrêt 2C_784/2017 du 8 mars 2018 consid. 7.3; cf. aussi arrêt 2C_29/2012 du 16 août 2012 consid. 2.1, in RF 67/2012 p. 756, où le Tribunal fédéral a jugé qu'il fallait faire preuve de la plus grande retenue lorsque des corrections de bilan ont un but fiscal). Il a en revanche admis qu'il fallait corriger une provision pour impôt qui avait bien été comptabilisée, mais qui était devenue insuffisante en raison d'une reprise effectuée dans le bénéfice imposable (ATF 141 II 83 consid. 5.5 p. 89 s.; cf. aussi arrêt 2C_662/2014 du 25 avril 2015 consid. 6.5, in RDAF 2015 II 267)." (ATF 2C_455/2017 du 17.09.2018 consid. 6.3).</w:t>
      </w:r>
    </w:p>
    <w:p>
      <w:r>
        <w:rPr>
          <w:b/>
        </w:rPr>
        <w:t>E. 8</w:t>
      </w:r>
    </w:p>
    <w:p>
      <w:r>
        <w:t>Le tribunal relève en premier lieu que, ni à l'occasion de ses demandes de délai pour répondre aux renseignements sollicités par l'AFC-GE durant l'année 2022, ni dans sa réclamation formulée par son mandataire en janvier 2013 la recourante a invoqué le fait qu'une provision aurait été omise dans les comptes qu'elle avait déposés. Ce n'est qu'à l'occasion de son recours du 22 juillet 2024 que, pour la première fois, elle a soulevé ce point.</w:t>
      </w:r>
    </w:p>
    <w:p>
      <w:r>
        <w:rPr>
          <w:b/>
        </w:rPr>
        <w:t>E. 9</w:t>
      </w:r>
    </w:p>
    <w:p>
      <w:r>
        <w:t>Aucune explication intelligible n'a été donnée sur de très importants retards mis à invoquer un élément qui, aux dires de la recourante dans ses dernières écritures, lui était connu depuis plusieurs années.</w:t>
      </w:r>
    </w:p>
    <w:p>
      <w:r>
        <w:rPr>
          <w:b/>
        </w:rPr>
        <w:t>E. 10</w:t>
      </w:r>
    </w:p>
    <w:p>
      <w:r>
        <w:t>Il convient par ailleurs de rappeler que, pour être admissible, une provision doit porter sur des faits dont l'origine se déroule durant la période de calcul (ATF 2C_723/2021 du 16.08.2022 consid. 5.2 et réf.). En l'espèce, le tribunal considère que cette preuve, qui incombe à la recourante, n'a pas été apportée par cette dernière. En particulier, les articles de presse qu'elle produit ne la concerne pas, ni sa débitrice. Des considérations très générales sur la politique de l'Etat russe et la situation de certains acteurs de l'industrie pétrolière ne sauraient à eux seuls justifier l'existence d'un risque survenu en 2018 sur le recouvrement de la créance litigieuse.</w:t>
      </w:r>
    </w:p>
    <w:p>
      <w:r>
        <w:t>- 7/8 - A/2488/2024 Il en est de mêmes des échanges avec des avocats anglais et la convention conclue avec une société de financement de litiges, que tous remontent à l'année 2024.</w:t>
      </w:r>
    </w:p>
    <w:p>
      <w:r>
        <w:rPr>
          <w:b/>
        </w:rPr>
        <w:t>E. 11</w:t>
      </w:r>
    </w:p>
    <w:p>
      <w:r>
        <w:t>Indépendamment du fait que, conformément à l'arrêt précité du Tribunal fédéral du 17 septembre 2018, une éventuelle omission comptable ne peut être réparée que dans des circonstances exceptionnelles, force est de constater que la justification d'une provision en raison d'un risque du recouvrement contre un débiteur n'a pas été apportée par la recourante.</w:t>
      </w:r>
    </w:p>
    <w:p>
      <w:r>
        <w:rPr>
          <w:b/>
        </w:rPr>
        <w:t>E. 12</w:t>
      </w:r>
    </w:p>
    <w:p>
      <w:r>
        <w:t>Il convient de souligner, sous l'angle formel, que la recourante n'a produit aucun document justifiant que les comptes corrigés ont été soumis à son assemblée générale. Le tribunal relève enfin que la recourante n'a effectué un opting-out qu'en 2023, si bien que les comptes corrigés de son exercice 2018 auraient dû être soumis à son organe de révision, ce qui n'a manifestement pas été le cas.</w:t>
      </w:r>
    </w:p>
    <w:p>
      <w:r>
        <w:rPr>
          <w:b/>
        </w:rPr>
        <w:t>E. 13</w:t>
      </w:r>
    </w:p>
    <w:p>
      <w:r>
        <w:t>Le recours sera rejeté sur ce point.</w:t>
      </w:r>
    </w:p>
    <w:p>
      <w:r>
        <w:rPr>
          <w:b/>
        </w:rPr>
        <w:t>E. 14</w:t>
      </w:r>
    </w:p>
    <w:p>
      <w:r>
        <w:t>Bien que n'ayant pas pris de conclusion formelle, la contribuable mentionne dans son acte de recours que les amendes infligées dans le cadre des taxations d'office doivent être supprimées.</w:t>
      </w:r>
    </w:p>
    <w:p>
      <w:r>
        <w:rPr>
          <w:b/>
        </w:rPr>
        <w:t>E. 15</w:t>
      </w:r>
    </w:p>
    <w:p>
      <w:r>
        <w:t>Conformément aux art. 174 LIFD et 68 LPFisc, sera puni d'une amende celui qui, malgré sommation, enfreint, intentionnellement ou par négligence une obligation qui lui incombe, notamment en ne fournissant pas les attestations, renseignements ou informations qu'il est tenu de donner. L'amende est de CHF 1'000.- au plus ; elle est de CHF 10'000.- au plus dans les cas graves ou en cas de récidive.</w:t>
      </w:r>
    </w:p>
    <w:p>
      <w:r>
        <w:rPr>
          <w:b/>
        </w:rPr>
        <w:t>E. 16</w:t>
      </w:r>
    </w:p>
    <w:p>
      <w:r>
        <w:t>En l'espèce, la recourante n'a, malgré des sommations conformes à la loi, pas répondu à une demande de renseignements portant sur des éléments nécessaires à établir une taxation conforme. Les amendes de CHF 300.- et CHF 200.- qui lui ont été infligées sont par conséquent justifiées et respectent le principe de proportionnalité. Elles seront également confirmées.</w:t>
      </w:r>
    </w:p>
    <w:p>
      <w:r>
        <w:rPr>
          <w:b/>
        </w:rPr>
        <w:t>E. 17</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la recourante qui succombe, est condamnée au paiement d’un émolument s'élevant à CHF 700.- ; il est couvert par l’avance de frais versée à la suite du dépôt du recours. Vu l’issue du litige, aucune indemnité de procédure ne sera allouée (art. 87 al. 2 LPA).</w:t>
      </w:r>
    </w:p>
    <w:p>
      <w:r>
        <w:t>- 8/8 - A/2488/2024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