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JTAPI/595/2024 vom 15. Januar 2023</w:t>
      </w:r>
    </w:p>
    <w:p>
      <w:r>
        <w:t>GE Cour de justice, 2023-01-15, FR</w:t>
      </w:r>
    </w:p>
    <w:p>
      <w:r>
        <w:rPr>
          <w:b/>
        </w:rPr>
        <w:t xml:space="preserve">Quelle: </w:t>
      </w:r>
      <w:r>
        <w:t>https://mcp.opencaselaw.ch/entscheid/ge_gerichte_JTAPI_595_2024</w:t>
      </w:r>
    </w:p>
    <w:p>
      <w:r>
        <w:t>FR: GE_GERICHTE JTAPI/595/2024 du 15 janvier 2023</w:t>
      </w:r>
    </w:p>
    <w:p>
      <w:r>
        <w:t>IT: GE_GERICHTE JTAPI/595/2024 del 15 gennaio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ATA/504/2023 du 16 mai 2023 consid. 3.2 et les arrêts cités). Lorsque le recourant conclut uniquement à l'annulation ou à la modification de la décision attaquée, il convient de se référer aux motifs de son recours afin de déterminer ce qui constitue l'objet du litige selon sa volonté déterminante (ATA/203/2015 du 24 février 2015 consid. 3a). Par ailleurs,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(ATA/1364/2018 du 18 décembre 2018 consid. 4b ; ATA/421/2017 du 11 avril 2017 consid. 5 ; ATA/648/2016 du 26 juillet 2016 consid. 2b et les arrêts cités).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(ATA/311/2019 précité ; ATA/648/2016 du 26 juillet 2016 consid. 2b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Il convient tout d'abord de déterminer quel est l'objet du litige.</w:t>
      </w:r>
    </w:p>
    <w:p>
      <w:r>
        <w:rPr>
          <w:b/>
        </w:rPr>
        <w:t>E. 4</w:t>
      </w:r>
    </w:p>
    <w:p>
      <w:r>
        <w:t>L'objet du litige est défini par trois éléments : principalement par l'objet du recours (ou objet de la contestation) et les conclusions du recourant, et accessoirement par</w:t>
      </w:r>
    </w:p>
    <w:p>
      <w:r>
        <w:t>- 4/7 - A/474/2024 les griefs ou motifs qu'il invoque. Il correspond objectivement à l’objet de la décision attaquée, qui délimite son cadre matériel admissible (ATF 136 V 362 consid. 3.4 et 4.2 ; arrêt du Tribunal fédéral 2C_581/2010 du 28 mars 2011 consid.</w:t>
      </w:r>
    </w:p>
    <w:p>
      <w:r>
        <w:rPr>
          <w:b/>
        </w:rPr>
        <w:t>E. 5</w:t>
      </w:r>
    </w:p>
    <w:p>
      <w:r>
        <w:t>Dans le cas d'espèce, il ressort de ce qui précède que l'objet du litige, c'est-à-dire le cadre dans lequel le tribunal doit se prononcer afin de trancher ce litige, ne peut concerner d'autres droits et obligations que ceux sur lesquels l'autorité intimée s'est prononcée dans sa décision du 15 janvier 2024. Le tribunal doit ainsi uniquement déterminer si c'est à bon escient que l'autorité intimée a prononcé le renvoi de Suisse de la recourante, compte tenu de l'ensemble des circonstances sur lesquelles ce renvoi était fondé. Il en découle par conséquent qu'en tant qu'elles consistent à requérir la délivrance d'un « permis B humanitaire » - question sur laquelle la décision litigieuse ne se prononce pas -, les conclusions prises par la recourante dans le cadre de son recours sortent de l'objet du litige et sont dès lors irrecevables.</w:t>
      </w:r>
    </w:p>
    <w:p>
      <w:r>
        <w:rPr>
          <w:b/>
        </w:rPr>
        <w:t>E. 6</w:t>
      </w:r>
    </w:p>
    <w:p>
      <w:r>
        <w:t>Pour le surplus, le tribunal relèvera que les écritures de la recourante du 15 avril 2024 ne permettent pas clairement de déterminer si elle entendait maintenir son recours suite aux écritures de l'autorité intimée du 28 mars 2024, ou si elle le retirait. Dans le doute, il convient de considérer que la recourante souhaitait malgré tout que le tribunal se prononce sur les mérites de son recours.</w:t>
      </w:r>
    </w:p>
    <w:p>
      <w:r>
        <w:rPr>
          <w:b/>
        </w:rPr>
        <w:t>E. 7</w:t>
      </w:r>
    </w:p>
    <w:p>
      <w:r>
        <w:t>La LEI et ses ordonnances d'exécution, en particulier l'ordonnance relative à l'admission, au séjour et à l'exercice d'une activité lucrative du 24 octobre 2007</w:t>
      </w:r>
    </w:p>
    <w:p>
      <w:r>
        <w:t>- 5/7 - A/474/2024 (OASA - RS 142.201) règlent l'entrée, le séjour et la sortie des étrangers dont le statut juridique n'est pas réglé par d'autres dispositions du droit fédéral ou par des traités internationaux conclus par la Suisse (art. 1 et 2 LEI), comme en l'espèce. Tout étranger qui désire séjourner en Suisse en vue d'y exercer une activité lucrative doit être titulaire d'une autorisation, quelle que soit la durée de son séjour (art. 11 al. 1 LEI). En cas d'activité salariée, la demande doit être déposée par l'employeur auprès de l'autorité compétente du lieu de travail envisagé (art. 11 al. 1 et 3 LEI). Lorsqu'un étranger ne possède pas de droit à l'exercice d'une activité lucrative, une décision cantonale préalable concernant le marché du travail est nécessaire pour l'admettre en vue de l'exercice d'une activité lucrative (art. 40 al. 2 LEI).</w:t>
      </w:r>
    </w:p>
    <w:p>
      <w:r>
        <w:rPr>
          <w:b/>
        </w:rPr>
        <w:t>E. 8</w:t>
      </w:r>
    </w:p>
    <w:p>
      <w:r>
        <w:t>Dans le canton de Genève, la compétence pour rendre une telle décision est attribuée à l'OCIRT (art. 2 al. 2 LaLEtr et 6 al. 4 du règlement d'application de la loi fédérale sur les étrangers, du 17 mars 2009 - RaLEtr - F 2 10.01), dont la décision préalable lie l'OCPM (art. 6 al. 6 RaLEtr ; cf. aussi directives et commentaires du SEM, domaine des étrangers, état au 1er novembre 2021, ch. 1.2.3.2).</w:t>
      </w:r>
    </w:p>
    <w:p>
      <w:r>
        <w:rPr>
          <w:b/>
        </w:rPr>
        <w:t>E. 9</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(arrêts du Tribunal administratif fédéral C-5268/2008 du 1er juin 2011 consid. 10 ; C- 406/2006 du 2 septembre 2008 consid. 8 et la référence citée ; ATA/228/2015 du 2 mars 2015 consid. 8 ; ATA/598/2014 du 29 juillet 2014 consid. 12 ; ATA/182/2014 du 25 mars 2014 consid. 12).</w:t>
      </w:r>
    </w:p>
    <w:p>
      <w:r>
        <w:rPr>
          <w:b/>
        </w:rPr>
        <w:t>E. 10</w:t>
      </w:r>
    </w:p>
    <w:p>
      <w:r>
        <w:t>En l'espèce, dans la mesure où la recourante est dépourvue à ce jour de titre de séjour valable en Suisse, l’autorité intimée n’avait d’autre choix que de prononcer son renvoi en application de l’art. 64 al. 1 let. c LEI, étant liée par la décision de l’OCIRT, qui avait constaté, par décision du 22 novembre 2023 devenue définitive, que la recourante ne remplissait pas les conditions de séjour avec activité lucrative en Suisse.</w:t>
      </w:r>
    </w:p>
    <w:p>
      <w:r>
        <w:rPr>
          <w:b/>
        </w:rPr>
        <w:t>E. 11</w:t>
      </w:r>
    </w:p>
    <w:p>
      <w:r>
        <w:t>Comme déjà dit plus haut, la question de savoir si la recourante pourrait bénéficier d'un titre de séjour pour cas individuel d'extrême gravité, au sens des art. 30 al. 1 let. b LEI et 31 al. 1 de l'ordonnance relative à l'admission, au séjour et à l'exercice d'une activité lucrative du 24 octobre 2007 (OASA - RS 142.201), ne peut être examinée dans le cadre du présent litige, puisqu'elle n'a pas encore été examinée par l'autorité intimée.</w:t>
      </w:r>
    </w:p>
    <w:p>
      <w:r>
        <w:t>- 6/7 - A/474/2024</w:t>
      </w:r>
    </w:p>
    <w:p>
      <w:r>
        <w:rPr>
          <w:b/>
        </w:rPr>
        <w:t>E. 12</w:t>
      </w:r>
    </w:p>
    <w:p>
      <w:r>
        <w:t>Il résulte de tout ce qui précède que le recours est mal fondé et qu'il devra donc être rejeté.</w:t>
      </w:r>
    </w:p>
    <w:p>
      <w:r>
        <w:rPr>
          <w:b/>
        </w:rPr>
        <w:t>E. 13</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même montant versée à la suite du dépôt du recours. Vu l’issue du litige, aucune indemnité de procédure ne sera allouée (art. 87 al. 2 LPA).</w:t>
      </w:r>
    </w:p>
    <w:p>
      <w:r>
        <w:rPr>
          <w:b/>
        </w:rPr>
        <w:t>E. 14</w:t>
      </w:r>
    </w:p>
    <w:p>
      <w:r>
        <w:t>En vertu des art. 89 al. 2 et 111 al. 2 de la loi sur le Tribunal fédéral du 17 juin 2005 (LTF - RS 173.110), le présent jugement sera communiqué au secrétariat d'État aux migrations.</w:t>
      </w:r>
    </w:p>
    <w:p>
      <w:r>
        <w:t>- 7/7 - A/474/2024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