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JTAPI/593/2023 vom 30. Mai 2023</w:t>
      </w:r>
    </w:p>
    <w:p>
      <w:r>
        <w:t>GE Cour de justice, 2023-05-30, FR</w:t>
      </w:r>
    </w:p>
    <w:p>
      <w:r>
        <w:rPr>
          <w:b/>
        </w:rPr>
        <w:t xml:space="preserve">Quelle: </w:t>
      </w:r>
      <w:r>
        <w:t>https://mcp.opencaselaw.ch/entscheid/ge_gerichte_JTAPI_593_2023</w:t>
      </w:r>
    </w:p>
    <w:p>
      <w:r>
        <w:t>FR: GE_GERICHTE JTAPI/593/2023 du 30 mai 2023</w:t>
      </w:r>
    </w:p>
    <w:p>
      <w:r>
        <w:t>IT: GE_GERICHTE JTAPI/593/2023 del 30 maggio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3.4</w:t>
      </w:r>
    </w:p>
    <w:p>
      <w:r>
        <w:t>; arrêt du Tribunal fédéral 2C_50/2015 du 26 juin 2015 consid. 3.1 ; ATA/978/2019 du 4 juin 2019 consid. 5c).</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w:t>
      </w:r>
    </w:p>
    <w:p>
      <w:r>
        <w:t>- 21/31 - A/1416/2021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5.2</w:t>
      </w:r>
    </w:p>
    <w:p>
      <w:r>
        <w:t>; 2C_861/2015 du 11 février 2016 consid. 4.3 ; 2C_1003/2015 du 7 janvier 2016 consid. 4.1 ; 2C_873/2013 du 25 mars 2014 consid. 4.1, non publié in ATF 140 II 289 et références).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(arrêts du Tribunal fédéral 2C_500/2014 du 18 juillet 2014 consid. 7.1 ; 2C_1188/ 2012 du 17 avril 2013 consid. 4.1).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 du Tribunal fédéral 2C_1003/2015 du 7 janvier 2016 consid. 4.4).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w:t>
      </w:r>
    </w:p>
    <w:p>
      <w:r>
        <w:t>- 24/31 - A/1416/2021</w:t>
      </w:r>
    </w:p>
    <w:p>
      <w:r>
        <w:rPr>
          <w:b/>
        </w:rPr>
        <w:t>E. 6</w:t>
      </w:r>
    </w:p>
    <w:p>
      <w:r>
        <w:t>Le recourant conclut principalement à l’annulation de la décision querellée et au renouvellement de son autorisation de séjour. Il affirme en premier lieu qu’il serait arbitraire de se référer au consulting médical du 26 novembre 2020 produit par le SEM.</w:t>
      </w:r>
    </w:p>
    <w:p>
      <w:r>
        <w:rPr>
          <w:b/>
        </w:rPr>
        <w:t>E. 7</w:t>
      </w:r>
    </w:p>
    <w:p>
      <w:r>
        <w:t>Selon la jurisprudence du Tribunal administratif fédéral, les consultings médicaux produits par l’équipe MedCOI, auxquels se réfère le SEM, peuvent être considérés comme une source fiable (arrêt du Tribunal administratif fédéral D-6258/2019, consid. 10.1).</w:t>
      </w:r>
    </w:p>
    <w:p>
      <w:r>
        <w:rPr>
          <w:b/>
        </w:rPr>
        <w:t>E. 8</w:t>
      </w:r>
    </w:p>
    <w:p>
      <w:r>
        <w:t>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semble concevable, voire préférable. Pour qu'une décision soit annulée, il ne suffit pas que sa motivation soit insoutenable ; il faut encore que cette décision apparaisse arbitraire dans son résultat ; la notion d'arbitraire ne se confond donc pas avec ce qui apparaît discutable ou même critiquable (cf. ATF 145 IV 154 consid. 1.1 ; 143 IV 500 consid. 1.1 ; 142 II 369 consid. 4.3 ; 140 I 201 consid. 6.1 ; arrêts du Tribunal fédéral 8C_107/2019 du 4 juin 2019 consid. 2.1 ; 6B_682/2018 du 20 septembre 2018 consid. 2).</w:t>
      </w:r>
    </w:p>
    <w:p>
      <w:r>
        <w:rPr>
          <w:b/>
        </w:rPr>
        <w:t>E. 9</w:t>
      </w:r>
    </w:p>
    <w:p>
      <w:r>
        <w:t>En l’espèce, le recourant ne peut être suivi lorsqu’il affirme que l’autorité intimée serait tombée dans l’arbitraire en se fiant aux informations du SEM car ce dernier aurait procédé à une mauvaise appréciation par le passé de la situation géopolitique en Erythrée notamment. La jurisprudence considère en effet les consultings médicaux du MedCOI comme une source fiable et le recourant ne démontre pas en quoi il serait insoutenable de se référer aux informations produites par son équipe. Cela étant, le tribunal a depuis lors procédé à des mesures d’instruction complémentaires. Il doit en outre être retenu que la situation s’est considérablement détériorée en Turquie depuis la rédaction dudit consulting. Il sera tenu compte de ces éléments ci-après.</w:t>
      </w:r>
    </w:p>
    <w:p>
      <w:r>
        <w:t>- 22/31 - A/1416/2021</w:t>
      </w:r>
    </w:p>
    <w:p>
      <w:r>
        <w:rPr>
          <w:b/>
        </w:rPr>
        <w:t>E. 10</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turcs</w:t>
      </w:r>
    </w:p>
    <w:p>
      <w:r>
        <w:rPr>
          <w:b/>
        </w:rPr>
        <w:t>E. 11</w:t>
      </w:r>
    </w:p>
    <w:p>
      <w:r>
        <w:t>Selon l'art. 42 al. 1 LEI, le conjoint d'un ressortissant suisse a droit à l'octroi d'une autorisation de séjour et à la prolongation de sa durée de validité à condition de vivre en ménage commun avec lui.</w:t>
      </w:r>
    </w:p>
    <w:p>
      <w:r>
        <w:rPr>
          <w:b/>
        </w:rPr>
        <w:t>E. 12</w:t>
      </w:r>
    </w:p>
    <w:p>
      <w:r>
        <w:t>À teneur de l'art. 50 al. 1 let. a LEI, après dissolution de la famille, le droit du conjoint et des enfants à l'octroi d'une autorisation de séjour et à la prolongation de sa durée de validité en vertu des art. 42 et 43 LEI subsiste si l'union conjugale a duré au moins trois ans et les critères d'intégration définis à l'art. 58a sont remplis. Ces deux conditions sont cumulatives (cf. ATF 140 II 345 consid. 4, 136 II 113 consid. 3.3.3).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w:t>
      </w:r>
    </w:p>
    <w:p>
      <w:r>
        <w:rPr>
          <w:b/>
        </w:rPr>
        <w:t>E. 13</w:t>
      </w:r>
    </w:p>
    <w:p>
      <w:r>
        <w:t>En l’espèce, l’OCPM a retenu que le couple que formait le recourant s’était séparé le 31 janvier 2017. La vie commune a ainsi duré moins de trois ans. L'une des conditions cumulatives de l'art. 50 al. 1 let. a LEI n'étant pas réalisée, il n'est pas nécessaire d'examiner l'intégration du recourant, de sorte que seule subsiste la question de savoir si des raisons personnelles majeures imposent la poursuite du séjour du recourant.</w:t>
      </w:r>
    </w:p>
    <w:p>
      <w:r>
        <w:rPr>
          <w:b/>
        </w:rPr>
        <w:t>E. 14</w:t>
      </w:r>
    </w:p>
    <w:p>
      <w:r>
        <w:t>Selon l'art. 50 al. 1 let. b LEI, après dissolution de la famille, le droit du conjoint à l'octroi d'une autorisation de séjour et à la prolongation de sa durée de validité en vertu des art. 42 et 43 LEI subsiste si la poursuite du séjour en Suisse s'impose pour des raisons personnelles majeures. Cette disposition vise à régler les situations qui échappent aux dispositions de l'art. 50 al. 1 let. a LEI, soit parce que, comme en l'espèce, le séjour en Suisse durant le mariage n'a pas duré trois ans mais que - eu égard à l'ensemble des circonstances - l'étranger se trouve dans un cas de rigueur après la dissolution de la famille (ATF 138 II 393 consid. 3.1 ; 137 II 345 consid. 3.2.1 ; 137 II 1 consid. 4.1). En font notamment partie la</w:t>
      </w:r>
    </w:p>
    <w:p>
      <w:r>
        <w:t>- 23/31 - A/1416/2021 réintégration fortement compromise dans le pays d'origine (ATF 137 II 345 consid. 3.2.2 ; 136 II 1 consid. 5.3 ; arrêt du Tribunal fédéral 2C_336/2016 du 29 avril 2016 consid. 5).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(ancien art. 42 al. 1 et 43 al. 1 LEtr) soient d'une intensité considérable (ATF 138 II 393 consid. 3 ; 137 II 345 ; arrêt du Tribunal fédéral 2C_1111/2015 du 9 mai 2016 consid. 5.2). S'agissant de la réintégration sociale dans le pays de provenance, l'art. 50 al. 2 LEI exige qu'elle semble fortement compromise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arrêts du Tribunal fédéral 2C_1111/2015 du 9 mai 2016 consid.</w:t>
      </w:r>
    </w:p>
    <w:p>
      <w:r>
        <w:rPr>
          <w:b/>
        </w:rPr>
        <w:t>E. 15</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Ces critères ne constituent pas un catalogue exhaustif, pas plus qu'ils ne doivent être réalisés cumulativement (cf. arrêt du Tribunal administratif fédéral C-2379/2013 du 14 décembre 2015 consid. 6.1).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(ATAF C-3337/2010 du 31 janvier 2012 consid. 4.3 et la jurisprudence citée ; ATA/780/2011 du 20 décembre 2011). La durée d'un séjour illégal (telles les années passées en Suisse par l'intéressé jusqu'au dépôt de sa demande de régularisation), ainsi qu'un séjour précaire (tel celui accompli depuis le dépôt de la demande de régularisation, à la faveur d'une simple tolérance cantonale ou de l'effet suspensif attaché à la procédure de recours) ne doivent normalement être pris en considération que dans une mesure très restreinte (cf. notamment ATAF 2007/45 consid. 4.4 et 6.3 et ATAF 2007/44 consid. 5.2 et la jurisprudence citée, cf. également arrêts du Tribunal administratif fédéral C-5837/2013 du 19 novembre 2014 consid. 6.1 et C-5414/2013 du 30 juin 2015 consid. 5.2.1). Le Tribunal fédéral n'adopte pas une approche schématique qui consisterait à présumer, à partir d'une certaine durée de séjour en Suisse, que l'étranger y est enraciné et dispose de ce fait d'un droit de présence dans le pays. Il procède plutôt à une pesée des intérêts, en considérant la durée du séjour en Suisse comme un élément parmi d'autres et en n'accordant qu'un faible poids aux années passées dans l'illégalité, en prison ou au bénéfice d'une simple tolérance (cf. ATF 134 II 10 consid. 4.3 ; 130 II 493 consid. 4.6 ; arrêts 2C_110/2015 du 14 décembre 2015 consid. 3 ; 2C_507/2012 du 17 janvier 2013 consid. 5.2.1 et les arrêts cités). A cet égard, les relations de travail, d'amitié ou de voisinage que l'étranger a pu nouer pendant son séjour ne constituent normalement pas des liens si étroits avec la Suisse justifiant, à eux seuls, la poursuite du séjour pour des motifs d'extrême gravité (ATF 137 II 345 consid. 3 ; 130 II 39 consid. 3 ; 128 II 200 consid. 4 ; 124 II 110 consid. 2 et les références ; arrêt du Tribunal fédéral 2C_283/2006 du</w:t>
      </w:r>
    </w:p>
    <w:p>
      <w:r>
        <w:t>- 25/31 - A/1416/2021 25 octobre 2007 consid. 3.2 ; ATAF C-3337/2010 du 31 janvier 2012 consid. 4.3 et la jurisprudence citée).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ATA/780/2011 du</w:t>
      </w:r>
    </w:p>
    <w:p>
      <w:r>
        <w:rPr>
          <w:b/>
        </w:rPr>
        <w:t>E. 20</w:t>
      </w:r>
    </w:p>
    <w:p>
      <w:r>
        <w:t>Dès lors qu'elle a refusé de soumettre le dossier du recourant au SEM en vue de la délivrance d'une autorisation de séjour pour cas de rigueur, l'autorité intimée devait en soi ordonner son renvoi de Suisse en application de l'art. 64 al. 1 let. c LEI.</w:t>
      </w:r>
    </w:p>
    <w:p>
      <w:r>
        <w:rPr>
          <w:b/>
        </w:rPr>
        <w:t>E. 21</w:t>
      </w:r>
    </w:p>
    <w:p>
      <w:r>
        <w:t>Reste toutefois à déterminer si l'exécution de cette mesure est possible, licite et peut être raisonnablement exigée.</w:t>
      </w:r>
    </w:p>
    <w:p>
      <w:r>
        <w:rPr>
          <w:b/>
        </w:rPr>
        <w:t>E. 22</w:t>
      </w:r>
    </w:p>
    <w:p>
      <w:r>
        <w:t>Le SEM décide d'admettre à titre provisoire l'étranger si l'exécution du renvoi ou de l'expulsion n'est pas possible, n'est pas licite ou ne peut être raisonnablement exigée (art. 83 al. 1 LEI). L'admission provisoire peut être proposée par les autorités cantonales (art. 83 al. 6 LEI).</w:t>
      </w:r>
    </w:p>
    <w:p>
      <w:r>
        <w:rPr>
          <w:b/>
        </w:rPr>
        <w:t>E. 23</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24</w:t>
      </w:r>
    </w:p>
    <w:p>
      <w:r>
        <w:t>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t>- 28/31 - A/1416/2021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25</w:t>
      </w:r>
    </w:p>
    <w:p>
      <w:r>
        <w:t>En l'espèce, il ressort du dossier que le recourant souffre d’un neutropénie chronique d’origine auto-immune connue depuis mars 2015. Lors de l'audience du 10 novembre 2021, le Dr I______ a expliqué qu’il s’agissait d’un déficit d'une sous-catégorie de globules blancs faisant que les défenses immunitaires du patient étaient altérées. M. A______ souffrait également d'une thrombopénie, soit un déficit modéré en plaquettes qui faisait partie du processus de coagulation. Après avoir détaillé le traitement mis en place pour le recourant, il a notamment précisé que celui-ci était suffisant aujourd'hui mais que la situation était dynamique et pouvait évoluer. Cela avait d'ailleurs été le cas, avec l'augmentation de la fréquence des injections, en début d'année 2021, du fait de la diminution des neutrophiles chez ce patient. Par ailleurs, M. A______ prenait des médicaments pour prévenir ou traiter des infections dans la mesure où le déficit de défense immunitaires le rendait plus sujet à ces dernières, avec un risque important d'agranulocytose (neutrophiles très bas). En cas d'arrêt du traitement, il pouvait en résulter une chute rapide des neutrophiles, ce qui était la porte ouverte à une infection potentiellement sévère. Un patient souffrant de neutropénie devait être attentif à son hygiène. Des mesures telles que la désinfection des mains étaient particulièrement indiquées en continu. Les neutrophiles de M. A______ étaient contrôlés par prise de sang une fois par mois et ils le voyaient en consultation chaque trois mois. Le traitement de M. A______ lui permettait aujourd'hui de rester dans une zone confortable, mais il ne le prévenait pas de toute infection sévère. En cas d'état fébrile, le patient devait pouvoir être pris en charge rapidement. En cas d'infection, une collaboration avec un service d'infectiologie</w:t>
      </w:r>
    </w:p>
    <w:p>
      <w:r>
        <w:t>- 29/31 - A/1416/2021 pouvait s'avérer nécessaire. L'agranulocytose pouvait également être prise en charge par un hôpital type, de même que l'administration d'antibiotiques par voie intraveineuse, toujours avec un suivi d'un service d'hématologie et (ou) d'infectiologie. Un suivi mensuel devait absolument être garanti afin d'éviter de mauvaises surprises. S'il était constaté que le niveau de neutrophiles du patient était trop bas, son hospitalisation était immédiate avec en parallèle un traitement antibiotique. Le traitement se faisait dans l'heure, après la prise en charge. Les traitements donnés à M. A______ étaient bien établis. Son traitement étant très coûteux, il était important que l'on puisse s'assurer de sa prise en charge en Turquie. Le fait que M. A______ se trouverait à une distance de onze heures de bus de l'hôpital d'Ankara était problématique. Un délai de onze heures en cas d'agranulocytose fébrile pouvait mettre le pronostic vital du patient en danger. Le 20 janvier 2023, M. A______, sous la plume de son conseil, a toutefois informé le tribunal que son état de santé s’était détérioré, ce qui avait conduit à son hospitalisation. Il ressort ainsi d’un certificat du 12 janvier 2023 du département d’oncologie des HUG qu’il avait présenté des multiples complications infectieuses, nécessitant des hospitalisations itératives (07.07- 08.07.2022, 28.07-23.08.2022, 31.08-04.10.2022, 24.10-14.11.2022, 14.11- 16.12.2022) avec une nouvelle hospitalisation depuis le 1er janvier 2023, toujours pour une complication infectieuse. Au vu desdites complications infectieuses itératives, menaçant son pronostic vital, une transplantation allogénique des cellules souches hématopoïétiques était prochainement prévue. Dans les suites de l'allogreffe, on s'attendait à une immunosuppression importante et à une altération de l'état général qui nécessiterait également un suivi médical très rapproché. Les auteurs du rapport jugeaient donc nécessaire que le patient puisse rester en Suisse afin de recevoir les soins appropriés. Il ressort enfin du rapport médical du 9 mars 2023, complété par son médecin traitant à la demande de l’OCPM, et d’une lettre de sortie des soins aigus du 13 février 2023 que le recourant a subi une allogreffe le 8 février 2023 et que le traitement actuel est nécessaire probablement jusqu’au minimum deux ans. Des contrôles médicaux doivent être assurés en lien avec ce traitement 2x par semaine avec prise de sang et évaluation clinique et 1x par mois pour l’évaluation de la maladie, par ponction - biopsie de moelle. Sans traitement et sans suivi médical spécialisé par une équipe de greffe, les conséquences seront mortelles. Le traitement actuel et un suivi médical régulier sont nécessaires pour la survie du patient. Le pronostic est difficile à définir à ce stade précoce après transplantation. La situation est précaire. Il résulte de ces éléments que la poursuite du traitement mis en place et d’un suivi médical régulier s'impose, à défaut de quoi la santé du recourant serait mise en danger de manière importante, le risque d'une issue fatale étant certain. Or, à cet égard, le tribunal ne peut que constater que si la prise en charge requise par ses diverses pathologies aurait vraisemblablement pu être garantie en Turquie</w:t>
      </w:r>
    </w:p>
    <w:p>
      <w:r>
        <w:t>- 30/31 - A/1416/2021 et en particulier auprès de l’hôpital de formation et de recherche d’Adlyaman, au regard du rapport de la section d’analyse du SEM, du rapport du Social Security Institution and Ministery of Health et des déclarations en audience du Dr I______, au moment du prononcé de la décision querellée, tel n’est plus le cas aujourd’hui au vu, d’une part, de la situation, notamment sanitaire, prévalant depuis février 2023 dans le sud-est de la Turquie et, d’autre part, de l’évolution de la situation médicale du recourant, qui vient tout juste de subir une allogreffe avec notamment pour conséquences une immunosuppression importante et une altération de son état général nécessitant un suivi médical très rapproché. Dans cette mesure, il apparaît évident que le recourant serait concrètement exposé, en cas de retour dans son pays, au risque de ne pas pouvoir bénéficier des traitements et suivis requis par son état de santé, avec pour conséquence une grave et rapide dégradation de ce dernier pouvant conduire à son décès. Partant, en l'état du dossier, il apparaît que l'exécution du renvoi du recourant en Turquie le mettrait concrètement dans une situation de péril immédiat pour sa vie, au vu de sa situation médicale. Les conditions d’une admission provisoire apparaissent ainsi remplies.</w:t>
      </w:r>
    </w:p>
    <w:p>
      <w:r>
        <w:rPr>
          <w:b/>
        </w:rPr>
        <w:t>E. 26</w:t>
      </w:r>
    </w:p>
    <w:p>
      <w:r>
        <w:t>Le recours sera dès lors partiellement admis et la décision litigieuse annulée en tant qu’elle prononce le renvoi du recourant. [Rectification du 28.07.2023]</w:t>
      </w:r>
    </w:p>
    <w:p>
      <w:r>
        <w:rPr>
          <w:b/>
        </w:rPr>
        <w:t>E. 27</w:t>
      </w:r>
    </w:p>
    <w:p>
      <w:r>
        <w:t>Le dossier sera retourné à l’OCPM afin qu'il le soumette au SEM avec un préavis favorable à une admission provisoire.</w:t>
      </w:r>
    </w:p>
    <w:p>
      <w:r>
        <w:rPr>
          <w:b/>
        </w:rPr>
        <w:t>E. 28</w:t>
      </w:r>
    </w:p>
    <w:p>
      <w:r>
        <w:t>Vu l'issue du litige, il ne sera pas perçu d'émolument (art. 87 al. 1 LPA et 1 et 2 du règlement sur les frais, émoluments et indemnités en procédure administrative du</w:t>
      </w:r>
    </w:p>
    <w:p>
      <w:r>
        <w:rPr>
          <w:b/>
        </w:rPr>
        <w:t>E. 30</w:t>
      </w:r>
    </w:p>
    <w:p>
      <w:r>
        <w:t>juillet 1986 - RFPA - E 5 10.03). Une indemnité de procédure réduite de CHF 800.-, à la charge de l’État de Genève, soit pour lui l'autorité intimée, sera allouée au recourant (art. 87 al. 2 à 4 LPA et 6 RFPA). 29. En vertu des art. 89 al. 2 et 111 al. 2 de la loi sur le Tribunal fédéral du 17 juin 2005 (LTF - RS 173.110), le présent jugement sera communiqué au SEM.</w:t>
      </w:r>
    </w:p>
    <w:p>
      <w:r>
        <w:t>- 31/31 - A/1416/2021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