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JTAPI/592/2024 vom 7. Juli 2023</w:t>
      </w:r>
    </w:p>
    <w:p>
      <w:r>
        <w:t>GE Cour de justice, 2023-07-07, FR</w:t>
      </w:r>
    </w:p>
    <w:p>
      <w:r>
        <w:rPr>
          <w:b/>
        </w:rPr>
        <w:t xml:space="preserve">Quelle: </w:t>
      </w:r>
      <w:r>
        <w:t>https://mcp.opencaselaw.ch/entscheid/ge_gerichte_JTAPI_592_2024</w:t>
      </w:r>
    </w:p>
    <w:p>
      <w:r>
        <w:t>FR: GE_GERICHTE JTAPI/592/2024 du 7 juillet 2023</w:t>
      </w:r>
    </w:p>
    <w:p>
      <w:r>
        <w:t>IT: GE_GERICHTE JTAPI/592/2024 del 7 luglio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- 5/11 - A/2524/2023</w:t>
      </w:r>
    </w:p>
    <w:p>
      <w:r>
        <w:rPr>
          <w:b/>
        </w:rPr>
        <w:t>E. 5</w:t>
      </w:r>
    </w:p>
    <w:p>
      <w:r>
        <w:t>Les recourants ne semblent pas avoir eu l’occasion de se déterminer avant le prononcé de la décision litigieuse.</w:t>
      </w:r>
    </w:p>
    <w:p>
      <w:r>
        <w:rPr>
          <w:b/>
        </w:rPr>
        <w:t>E. 6</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Les modalités de la mise en œuvre de ce droit sont d’abord déterminés par les dispositions de droit cantonal de procédure (arrêt du Tribunal fédéral 8C_615/2016 du 15 juillet 2017 consid. 3.2.1 et les références citées ; ATA/289/ 2018 du 27 mars 2018 consid. 2b). Il est concrétisé à l’art. 41 LPA, selon lequel les parties ont le droit d’être entendues par l’autorité compétente avant que ne soit prise une décision.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 Cela étant,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l’hypothèse où l’autorité entendrait fonder sa décision sur des éléments auxquels l’intéressé ne pouvait s’attendre restant réservé (ATA/266/2021 du 2 mars 2021 consid. 3c et les références citées).</w:t>
      </w:r>
    </w:p>
    <w:p>
      <w:r>
        <w:rPr>
          <w:b/>
        </w:rPr>
        <w:t>E. 7</w:t>
      </w:r>
    </w:p>
    <w:p>
      <w:r>
        <w:t>La jurisprudence admet qu’une violation du droit d’être entendu en instance inférieure peut être réparée lorsque l’intéressé a la faculté de se faire entendre en</w:t>
      </w:r>
    </w:p>
    <w:p>
      <w:r>
        <w:t>- 6/11 - A/2524/2023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8</w:t>
      </w:r>
    </w:p>
    <w:p>
      <w:r>
        <w:t>En l’espèce, le tribunal constate qu’aucune lettre d’intention ne figure au dossier et que les parties n’en n’ont pas non plus fait mention dans leurs écritures. L’OCPM n’a ainsi visiblement pas donné l’occasion aux recourants d’exercer leur droit d’être entendu, avant le prononcé de la décision litigieuse. Cela étant, la procédure a été initiée par une requête des recourants, si bien qu'ils n'avaient pas à être encore entendus par l'autorité avant la prise de décision, cette dernière ne faisant pas ressortir d'éléments auxquels ils ne pouvaient s'attendre. Même à admettre que tel ne serait pas le cas, une éventuelle violation du droit d'être entendu aurait été réparée dans le cadre de la présente procédure. En effet, les recourants ont pu se déterminer en toute connaissance de cause devant le tribunal qui dispose du même pouvoir d’examen que l’OCPM, étant relevé que la question litigieuse ne relève pas de l’opportunité. Dans ces circonstances et conformément à la jurisprudence, le renvoi de la cause à l’OCPM ne constituerait qu’une vaine formalité et aboutirait à un allongement inutile de la procédure.</w:t>
      </w:r>
    </w:p>
    <w:p>
      <w:r>
        <w:rPr>
          <w:b/>
        </w:rPr>
        <w:t>E. 9</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10</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w:t>
      </w:r>
    </w:p>
    <w:p>
      <w:r>
        <w:t>- 7/11 - A/2524/2023</w:t>
      </w:r>
    </w:p>
    <w:p>
      <w:r>
        <w:rPr>
          <w:b/>
        </w:rPr>
        <w:t>E. 11</w:t>
      </w:r>
    </w:p>
    <w:p>
      <w:r>
        <w:t>À teneur de l'art. 34 al. 2 LEI, l'autorité compétente peut octroyer une autorisation d'établissement à un étranger aux conditions suivantes :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w:t>
      </w:r>
    </w:p>
    <w:p>
      <w:r>
        <w:rPr>
          <w:b/>
        </w:rPr>
        <w:t>E. 12</w:t>
      </w:r>
    </w:p>
    <w:p>
      <w:r>
        <w:t>À teneur de l'art. 34 al. 4 LEI,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w:t>
      </w:r>
    </w:p>
    <w:p>
      <w:r>
        <w:rPr>
          <w:b/>
        </w:rPr>
        <w:t>E. 13</w:t>
      </w:r>
    </w:p>
    <w:p>
      <w:r>
        <w:t>L'art. 34 LEI est une norme potestative qui ne consacre pas de droit à un permis d'établissement (ATF 135 II 1 consid. 1.1 ; 131 II 339 consid. 1, et la jurisprudence citée ; ATAF F-3419/2018 consid. 5 ; Minh Son NGUYEN/Cesla AMARELLE, Code annoté de droit des migrations, vol. 2 : LEtr, 2017, pp. 324 et les références citées).</w:t>
      </w:r>
    </w:p>
    <w:p>
      <w:r>
        <w:rPr>
          <w:b/>
        </w:rPr>
        <w:t>E. 14</w:t>
      </w:r>
    </w:p>
    <w:p>
      <w:r>
        <w:t>Les conditions posées à l'octroi anticipé d'une autorisation d'établissement sont précisées à l'art. 62 OASA. 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soit pour l’octroi anticipé d’une autorisation d’établissement le niveau B1 à l’oral et le niveau A1 à l’écrit [Directives et commentaires du SEM, domaine des étrangers, ch. 3.3.1.3, état au 1er juin 2024 (ci-après : Directives SEM)],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Tribunal fédéral 2C_455/2018 du 9 septembre 2018 consid. 4.1). Par ailleurs, plus le statut juridique sollicité confère des droits étendus au requérant, plus les exigences liées au niveau d'intégration sont élevées (cf. arrêts du Tribunal administratif fédéral F-5586/2022 du 11 avril 2023 consid. 4.3 et références citées ; F-573/2021 du 14 juin 2021 consid. 4.3.1).</w:t>
      </w:r>
    </w:p>
    <w:p>
      <w:r>
        <w:rPr>
          <w:b/>
        </w:rPr>
        <w:t>E. 15</w:t>
      </w:r>
    </w:p>
    <w:p>
      <w:r>
        <w:t>À bien des égards, l’octroi anticipé d’une autorisation d’établissement a pour but de récompenser la personne étrangère qui présente un parcours d’intégration remarquable, méritoire. Le mérite réside dans le parcours d’intégration de la personne étrangère. C’est dire que les motifs d’ordre économique ne sauraient entrer en considération. Plus précisément, la création d’entreprises, d’emplois ou l’acquisition d’immeubles ne sont pas des motifs pertinents justifiant l’octroi anticipé du permis C, encore moins les raisons fiscales (Minh Son NGUYEN, Cesla AMARELLE (éd.), Code annoté de droit des migrations, Volume II, Loi sur les étrangers, 2017, p. 335, ch. 40 et p. 336 ch. 44).</w:t>
      </w:r>
    </w:p>
    <w:p>
      <w:r>
        <w:t>- 8/11 - A/2524/2023</w:t>
      </w:r>
    </w:p>
    <w:p>
      <w:r>
        <w:rPr>
          <w:b/>
        </w:rPr>
        <w:t>E. 16</w:t>
      </w:r>
    </w:p>
    <w:p>
      <w:r>
        <w:t>L’exigence de la participation à la vie économique repose sur le principe selon lequel l’intéressé doit être apte à subvenir lui-même à ses besoins. L’étranger doit en principe être en mesure de pourvoir à son propre entretien et à celui de sa famille, grâce à son revenu, à sa fortune ou à des prestations provenant de tiers auxquelles il a droit. Font partie de ces dernières, par exemple, les prestations d’entretien au titre du code civil ou les prestations des assurances sociales telles que la prévoyance vieillesse, survivants et invalidité et l’indemnité de chômage. En revanche, celui qui bénéficie de l’aide sociale ne participe pas à la vie économique (Directives SEM ch. 3.3.1.4.1), étant rappelé que constitue notamment un motif de révocation le fait que l'étranger lui-même ou une personne dont il a la charge dépende de l'aide sociale (art. 62 al. 1 let. e LEI).</w:t>
      </w:r>
    </w:p>
    <w:p>
      <w:r>
        <w:rPr>
          <w:b/>
        </w:rPr>
        <w:t>E. 17</w:t>
      </w:r>
    </w:p>
    <w:p>
      <w:r>
        <w:t>Cette position est conforme à la jurisprudence du Tribunal fédéral qui retient que l’essentiel en matière d’intégration professionnelle est que l'étranger subvienne à ses besoins, n'émarge pas à l'aide sociale et ne s'endette pas de manière disproportionnée. Il n'y a ainsi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(arrêts du Tribunal fédéral 2C_301/2018 du 24 septembre 2018 consid. 3.2 ; 2C_455/2018 du 9 septembre 2018 consid. 4.1 et les références citées).</w:t>
      </w:r>
    </w:p>
    <w:p>
      <w:r>
        <w:rPr>
          <w:b/>
        </w:rPr>
        <w:t>E. 18</w:t>
      </w:r>
    </w:p>
    <w:p>
      <w:r>
        <w:t>Dans un arrêt relativement récent, le Tribunal administratif fédéral a dénié un degré d'intégration suffisamment élevé pour pouvoir prétendre à l'octroi anticipé d'une autorisation d'établissement, s’agissant d’un recourant, ayant bénéficié durant sept ans de l’assistance publique pour un montant de CHF 106'627,95.-, en complément de ses revenus. Même s’il était indépendant financièrement depuis plus de deux ans et subvenait depuis lors par ses propres moyens aux besoins de son épouse et de leurs trois enfants mineurs, cette indépendance financière devait encore être considérée comme très récente (F-6396/2020 du 13 janvier 2022 consid. 6.3.4). Dans l’ATA/192/2022 du 22 février 2022, la chambre administrative de la Cour de justice (ci-après : la chambre administrative), a dénié l’intégration économique d’un recourant qui, après avoir perçu CHF 60'000.- de l’assistance publique durant un peu moins de cinq ans, soit une période relativement longue, était financièrement indépendant depuis trois ans et justifiait d’un revenu annuel brut de CHF 42'000.- pour l’entretien d’une famille de quatre personnes. La chambre administrative a notamment relevé, qu’en comparaison, le Tribunal administratif fédéral avait jugé qu’une indépendance financière de cinq ans et de huit ans, s’agissant de requérants réalisant des revenus annuels de CHF 60'000.-, sans charge de famille, était suffisante (consid. 5).</w:t>
      </w:r>
    </w:p>
    <w:p>
      <w:r>
        <w:rPr>
          <w:b/>
        </w:rPr>
        <w:t>E. 19</w:t>
      </w:r>
    </w:p>
    <w:p>
      <w:r>
        <w:t>En l’espèce, l’OCPM a fondé son refus sur le fait que les recourants avait bénéficié de l’aide sociale pour un montant important et de manière durable. Ils ont en effet perçu CHF 280'708.55 au total durant plus de six ans. L’autorité intimée n’a, en</w:t>
      </w:r>
    </w:p>
    <w:p>
      <w:r>
        <w:t>- 9/11 - A/2524/2023 l’état, pas contesté la réalisation des autres conditions auxquelles l’octroi anticipé d’une autorisation d’établissement est soumis. À teneur de l’attestation de l’Hospice général du 24 mai 2023, les recourants ont bénéficié de prestations financières du 16 octobre 2015 au 31 décembre 2021, percevant notamment, CHF 51'835.- en 2019 (charges : CHF 64'219.-/ressources : CHF 12'384.-), CHF 52'128.- en 2020 (charges : CHF 66'370.70/ressources : CHF 14'242.70) et CHF 39'723.- en 2021 (charges : CHF 73'804.35/ressources : CHF 34'081.30). Exceptés les montants de peu d’importance qu’ils ont encore perçus en 2022 et 2023 (CHF 3'857.95 et CHF 868.55), il ressort du dossier que les recourants n’émargent plus à l’assistance publique depuis près de deux ans et demi. Le recourant a obtenu sa carte de chauffeur VTC en août 2021 et son diplôme de chauffeur de taxi en mars 2023. Il travaille en qualité de chauffeur auprès de la société qu’il a créée, ce qui est louable. Selon les justificatifs produits, il a réalisé un salaire mensuel moyen net de l’ordre de CHF 4'005.- entre avril et décembre 2023. Or, ses revenus mensuels ne permettent pas de couvrir les charges mensuelles de la famille, ce d’autant qu’elles augmentent visiblement chaque année. Selon l’attestation précitée, elles étaient de CHF 5'351.- en 2019, de CHF 5'530.- en 2020 et de CHF 6'150.- en 2021. Il apparaît ainsi que les seuls revenus du recourant ne suffisent manifestement pas à couvrir les charges de la famille, étant précisé que son épouse ne travaille pas et que leurs enfants poursuivent des études. Il convient également de relever que le calcul de leurs charges, en application du règlement d'exécution de la loi sur l'insertion et l'aide sociale individuelle du 25 juillet 2007 (RIASI - J 4 04.01), conduirait à la même conclusion. En effet, la prestation mensuelle de base s'élève, pour une personne seule, à CHF 1'031.-, montant qui doit être multiplié par 2,42 pour une famille de cinq personnes (art. 2 al. 1 let. d RIASI), ce qui correspond à un montant de CHF 2'495.-, auquel il convient d’ajouter le loyer de CHF 1'820.- par mois, charge comprises, soit un montant de CHF 4'315.-. À ce stade, le salaire du recourant ne suffit déjà plus à couvrir le montant des charges, alors même que les primes d’assurance-maladie n’ont pas été comptabilisées. Selon les justificatifs de paiement produits à cet égard, le recourant a versé à la caisse-maladie CSS un montant de CHF 659.45 en janvier et mars 2024, ainsi qu’un montant de CHF 589.45 en mars et avril 2024. Partant, bien que le recourant ait, depuis plusieurs années, manifesté sa volonté de participer à la vie économique, force est de constater que sa situation professionnelle et financière n'apparaît, au vu des pièces produites, pas encore suffisamment stable pour que l'indépendance financière de sa famille puisse être considérée comme garantie à long terme. Le risque concret d’un retour à l’aide sociale ne peut pas encore être exclu.</w:t>
      </w:r>
    </w:p>
    <w:p>
      <w:r>
        <w:t>- 10/11 - A/2524/2023</w:t>
      </w:r>
    </w:p>
    <w:p>
      <w:r>
        <w:rPr>
          <w:b/>
        </w:rPr>
        <w:t>E. 20</w:t>
      </w:r>
    </w:p>
    <w:p>
      <w:r>
        <w:t>Au vu de ce qui précède, le tribunal considère que les recourants ne peuvent, en l’état, pas se prévaloir d’une intégration économique suffisante au sens de l’art. 34 al. 2 let. c LEI, auquel renvoie l’art. 34 al. 4 LEI. La question de savoir si, en sus, le motif de révocation de l’art. 62 al 2 let. e LEI est réalisé peut ainsi rester ouverte.</w:t>
      </w:r>
    </w:p>
    <w:p>
      <w:r>
        <w:rPr>
          <w:b/>
        </w:rPr>
        <w:t>E. 21</w:t>
      </w:r>
    </w:p>
    <w:p>
      <w:r>
        <w:t>Partant, c'est sans abuser de son large pouvoir d'appréciation en la matière que l'OCPM a refusé de faire droit à la requête des recourants. Dans ces circonstances, sauf à statuer en opportunité, ce que la loi lui interdit (art. 61 al. 2 LPA), le tribunal ne saurait substituer son appréciation à celle de l'autorité intimée.</w:t>
      </w:r>
    </w:p>
    <w:p>
      <w:r>
        <w:rPr>
          <w:b/>
        </w:rPr>
        <w:t>E. 22</w:t>
      </w:r>
    </w:p>
    <w:p>
      <w:r>
        <w:t>Il convient de préciser que ce refus ne remet nullement en cause la présence des recourants en Suisse.</w:t>
      </w:r>
    </w:p>
    <w:p>
      <w:r>
        <w:rPr>
          <w:b/>
        </w:rPr>
        <w:t>E. 23</w:t>
      </w:r>
    </w:p>
    <w:p>
      <w:r>
        <w:t>Mal 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- 11/11 - A/2524/2023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