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JTAPI/585/2023 vom 25. Mai 2023</w:t>
      </w:r>
    </w:p>
    <w:p>
      <w:r>
        <w:t>GE Cour de justice, 2023-05-25, FR</w:t>
      </w:r>
    </w:p>
    <w:p>
      <w:r>
        <w:rPr>
          <w:b/>
        </w:rPr>
        <w:t xml:space="preserve">Quelle: </w:t>
      </w:r>
      <w:r>
        <w:t>https://mcp.opencaselaw.ch/entscheid/ge_gerichte_JTAPI_585_2023</w:t>
      </w:r>
    </w:p>
    <w:p>
      <w:r>
        <w:t>FR: GE_GERICHTE JTAPI/585/2023 du 25 mai 2023</w:t>
      </w:r>
    </w:p>
    <w:p>
      <w:r>
        <w:t>IT: GE_GERICHTE JTAPI/585/2023 del 25 maggio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La recevabilité du recours suppose que son auteur dispose de la qualité pour recourir.</w:t>
      </w:r>
    </w:p>
    <w:p>
      <w:r>
        <w:rPr>
          <w:b/>
        </w:rPr>
        <w:t>E. 3</w:t>
      </w:r>
    </w:p>
    <w:p>
      <w:r>
        <w:t>À teneur de l’art. 60 al. 1 let. b de la loi sur la procédure administrative du 12 septembre 1985 (LPA - E 5 10), a qualité pour recourir toute personne qui est touchée directement par une décision et a un intérêt personnel digne de protection à ce qu'elle soit annulée ou modifiée.</w:t>
      </w:r>
    </w:p>
    <w:p>
      <w:r>
        <w:rPr>
          <w:b/>
        </w:rPr>
        <w:t>E. 4</w:t>
      </w:r>
    </w:p>
    <w:p>
      <w:r>
        <w:t>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(arrêt du Tribunal fédéral 1C_91/2018 du 29 janvier 2019 consid. 3.1 ; ATF 138 II 162 consid. 2.1.1 ; 135 II 145 consid. 5).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w:t>
      </w:r>
    </w:p>
    <w:p>
      <w:r>
        <w:t>- 7/13 - A/1927/2022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(ATF 144 I 43 consid. 2.1 ; 139 II 499 consid. 2.2 ; arrêt du Tribunal fédéral 1C_91/2018 précité consid. 3.1). Cet intérêt suppose aussi qu'il soit actuel (cf. ATF 144 IV 81 consid. 2.3.1 ; 142 I 135 consid. 1.3.1 ; 139 I 206 consid. 1.1 ; 138 II 42 consid. 1 ; 135 I 79 consid. 1 ; ATA/1094/2020 du 3 novembre 2020 consid. 2 ; ATA/201/2017 du 16 février 2017 consid. 2). L’existence d’un intérêt actuel s’apprécie non seulement au moment du dépôt du recours, mais aussi lors du prononcé de la décision sur recours (ATF 137 I 296 consid. 4.2). Si l’intérêt actuel n’existe pas lors du dépôt du recours, celui-ci est déclaré irrecevable. S’il s’éteint pendant la procédure, le recours, devenu sans objet, doit être simplement rayé du rôle (ATF 139 I 206 consid. 1.1 ; 138 II 42 consid. 1 ; arrêt du Tribunal fédéral 1B_61/2017 du 29 mars 2017 consid. 1.2 ; ATA/73/ 2017 du 31 janvier 2017 consid. 2c).</w:t>
      </w:r>
    </w:p>
    <w:p>
      <w:r>
        <w:rPr>
          <w:b/>
        </w:rPr>
        <w:t>E. 5</w:t>
      </w:r>
    </w:p>
    <w:p>
      <w:r>
        <w:t>En l'espèce, la recourante a exposé que le paiement de l'amende résultait d'une erreur et qu'elle en a demandé le remboursement, ce que le DT ne conteste pas. Dans ces conditions, l'intérêt actuel de la recourante existe et le recours est recevable sur ce point. Pour le surplus, interjeté en temps utile et dans les formes prescrites devant la juridiction compétente, le recours est recevable au sens des art. 60 et 62 à 65 LPA.</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2ème éd. Schulthess 2018, p. 179-180 n. 515).</w:t>
      </w:r>
    </w:p>
    <w:p>
      <w:r>
        <w:rPr>
          <w:b/>
        </w:rPr>
        <w:t>E. 7</w:t>
      </w:r>
    </w:p>
    <w:p>
      <w:r>
        <w:t>La recourante estime que son droit d'être entendue n'aurait pas été respecté puisque, à son sens, un rappel aurait dû lui être signifié avant de la sanctionner.</w:t>
      </w:r>
    </w:p>
    <w:p>
      <w:r>
        <w:t>- 8/13 - A/1927/2022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Selon la doctrine, le droit d'être entendu comprend avant tout le droit pour les parties de faire valoir leur point de vue avant qu'une décision ne soit prise à son détriment, de prendre connaissance des pièces du dossier, de faire administrer des preuves sur des faits importants pour la décision envisagée, de participer à l'administration de l'ensemble des preuves d'en prendre connaissance et de se déterminer à leur propos (Thierry TANQUEREL, Manuel de droit administratif, 2ème éd. Schulthess 2018, p. 519 n. 1528).</w:t>
      </w:r>
    </w:p>
    <w:p>
      <w:r>
        <w:rPr>
          <w:b/>
        </w:rPr>
        <w:t>E. 8</w:t>
      </w:r>
    </w:p>
    <w:p>
      <w:r>
        <w:t>Dans le cas d'espèce, le département a laissé la possibilité à la recourante, par courrier du 19 novembre 2021, de se déterminer sur les faits constatés lors du transport sur place, ce qu'elle a fait par courrier du 6 décembre 2021. De plus, dans sa décision du 14 janvier 2022, le département l'a clairement avisée qu'une sanction et/ou toute mesure pourrait lui être infligée si elle ne lui adressait pas, dans le délai imparti, un reportage photographique. La recourante était ainsi parfaitement informée des conséquences que pouvait entrainer le non-respect de l'ordre prononcé. Dans ces conditions, le département n'était à l'évidence pas tenu de signifier en plus un rappel à la recourante avant de la sanctionner. Ce grief est dès lors rejeté.</w:t>
      </w:r>
    </w:p>
    <w:p>
      <w:r>
        <w:rPr>
          <w:b/>
        </w:rPr>
        <w:t>E. 9</w:t>
      </w:r>
    </w:p>
    <w:p>
      <w:r>
        <w:t>Ensuite, la recourante fait valoir que le principe de la légalité aurait été violé, la LCI ne prévoyant pas de base légale pour fonder le prononcé d'une amende à l'encontre d'un administré qui n'envoie pas un reportage photographique à temps afin d'établir une remise en conformité qui aurait été effectuée dans les temps.</w:t>
      </w:r>
    </w:p>
    <w:p>
      <w:r>
        <w:rPr>
          <w:b/>
        </w:rPr>
        <w:t>E. 10</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w:t>
      </w:r>
    </w:p>
    <w:p>
      <w:r>
        <w:t>- 9/13 - A/1927/2022 application des art. 129 et 130 LCI (art. 131 LCI). Le département notifie aux intéressés, par lettre recommandée, les mesures qu'il ordonne. Il fixe un délai pour leur exécution, à moins qu'il n'invoque l'urgence (art. 132 al. 1 LCI).</w:t>
      </w:r>
    </w:p>
    <w:p>
      <w:r>
        <w:rPr>
          <w:b/>
        </w:rPr>
        <w:t>E. 11</w:t>
      </w:r>
    </w:p>
    <w:p>
      <w:r>
        <w:t>La compétence du département de contrôler l'application de la législation sur les constructions, ainsi que d'en faire observer les règles, comprend celle d'exiger la production de documents permettant précisément de contrôler l'observation de ces règles. L'habilitation du département résulte du droit matériel (cf. arrêts 1C_523/2021 du 14 avril 2023 consid. 2.3 ; 1C_557/2019 du 21 avril 2020 consid. 2.4; cf. ATF 123 II 248 consid. 4b; cf. Thierry TANQUEREL, Manuel de droit administratif, 2ème éd. Schulthess 2018, p. 400 et 410 n. 1157 et 1200).</w:t>
      </w:r>
    </w:p>
    <w:p>
      <w:r>
        <w:rPr>
          <w:b/>
        </w:rPr>
        <w:t>E. 12</w:t>
      </w:r>
    </w:p>
    <w:p>
      <w:r>
        <w:t>Partant, dès lors que le département est compétent pour ordonner la remise en état, la modification, la suppression ou la démolition de constructions, d'installations ou d'autres choses non conformes au droit (cf. art. 129 et 130 LCI), il devait pouvoir exiger de la propriétaire la production de documents permettant de vérifier la conformité des travaux réalisés à la règlementation applicable.</w:t>
      </w:r>
    </w:p>
    <w:p>
      <w:r>
        <w:rPr>
          <w:b/>
        </w:rPr>
        <w:t>E. 13</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w:t>
      </w:r>
    </w:p>
    <w:p>
      <w:r>
        <w:rPr>
          <w:b/>
        </w:rPr>
        <w:t>E. 14</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ATA/147/2014 du 11 mars 2014 consid. 11 ; Aude BICHOVSKY, in Commentaire romand du Code pénal II, n. 2 ad art. 292 p. 1887).</w:t>
      </w:r>
    </w:p>
    <w:p>
      <w:r>
        <w:rPr>
          <w:b/>
        </w:rPr>
        <w:t>E. 15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w:t>
      </w:r>
    </w:p>
    <w:p>
      <w:r>
        <w:t>- 10/13 - A/1927/2022 (ATA/508/2020 du 26 mai 2020 consid. 4 ; ATA/206/2020 du 25 février 2020, consid. 4b ; ATA/13/2020 du 7 janvier 2020, consid. 7b).</w:t>
      </w:r>
    </w:p>
    <w:p>
      <w:r>
        <w:rPr>
          <w:b/>
        </w:rPr>
        <w:t>E. 16</w:t>
      </w:r>
    </w:p>
    <w:p>
      <w:r>
        <w:t>En vertu de l'art. 1 let. a de la loi pénale genevoise du 17 novembre 2006 (LPG - E 4 05), il y en effet lieu de faire application des dispositions générales (art. 1 à 110) du CP, sous réserve de celles qui concernent exclusivement le juge pénal (comme notamment les art. 34 ss, 42 ss, 56 ss, 74 ss, 106 al. 2 et 3 et 107 CP ; ATA/422/2020 précité ; ATA/440/2019 précité ATA/313/2017 précité). 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de la Constitution fédérale de la Confédération suisse du 18 avril 1999 (Cst. – RS 101) ; ATA/206/2020 précité, consid. 4c ; ATA/13/2020 précité, consid. 7c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 ATA/319/2017 précité consid. 3d). Enfin, le mandant doit endosser la responsabilité des actes de son mandataire (ATA/260/2014 du 15 avril 2014 ; ATA/135/2011 du 1er mars 2011 consid. 10).</w:t>
      </w:r>
    </w:p>
    <w:p>
      <w:r>
        <w:rPr>
          <w:b/>
        </w:rPr>
        <w:t>E. 17</w:t>
      </w:r>
    </w:p>
    <w:p>
      <w:r>
        <w:t>En l'espèce, en ne produisant pas le reportage photographique requis par le DT, visant à mettre un terme à un dossier d'infraction ouvert, et propre à démontrer qu'elle s'était conformée à l'ordre de remise, en état entré en force - dans le délai imparti - la recourante ne s'est pas conformée aux ordres du département. Concernant l'appréciation de la culpabilité de la recourante, il doit être admis qu'en sa qualité de propriétaire, elle connaissait ses obligations concernant la mise en conformité de sa propriété et la production du reportage photographique prouvant sa bonne mise en conformité. C'est en outre, en vain, qu'elle fait valoir que l'omission négligente de produire le reportage photographique a été commise par son mandataire dans la mesure où elle en endosse la responsabilité. Partant, elle a assurément commis une faute justifiant d'être sanctionnée.</w:t>
      </w:r>
    </w:p>
    <w:p>
      <w:r>
        <w:t>- 11/13 - A/1927/2022 Pour le surplus, la recourante n'invoque aucun élément susceptible de justifier l'absence de production du reportage photographique dans le délai ou justifiant une transmission tardive. En tout état, la recourante ne parvient pas à démontrer, à défaut d'éléments probants, que les travaux de remise en conformité ont été réalisés dans le délai imparti, étant noté que ni l'avis d'ouverture de chantier ni les factures des acomptes demandés ne permettent d'établir la date de la réalisation de la mise en conformité.</w:t>
      </w:r>
    </w:p>
    <w:p>
      <w:r>
        <w:rPr>
          <w:b/>
        </w:rPr>
        <w:t>E. 18</w:t>
      </w:r>
    </w:p>
    <w:p>
      <w:r>
        <w:t>Le principe de l'amende est donc acquis.</w:t>
      </w:r>
    </w:p>
    <w:p>
      <w:r>
        <w:rPr>
          <w:b/>
        </w:rPr>
        <w:t>E. 19</w:t>
      </w:r>
    </w:p>
    <w:p>
      <w:r>
        <w:t>Reste à déterminer si la quotité de l'amende respecte le principe de proportionnalité. La jurisprudence précise que le département jouit d’un large pouvoir d’appréciation pour en fixer le montant et le tribunal ne la censure qu’en cas d’excès. Sont pris en considération la nature, la gravité et la fréquence des infractions commises dans le respect du principe de la proportionnalité (ATA/604/2022 du 7 juin 2022 consid. 8a ; ATA/19/2018 du 9 janvier 2018 consid. 9d, confirmé par arrêt du Tribunal fédéral 1C_80/2018 du 23 mai 2019). L’amende doit respecter le principe de la proportionnalité (ATA/894/2022 du 6 septembre 2022 consid. 8g et les références citées), lequel commande que la mesure étatique soit nécessaire et apte à atteindre le but prévu et qu’elle soit raisonnable pour la personne concernée (ATF 140 I 257 consid. 6.3.1). Ainsi, la décision prononcée doit être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(ATA/917/2021 du 7 septembre 2021 consid. 8a).</w:t>
      </w:r>
    </w:p>
    <w:p>
      <w:r>
        <w:rPr>
          <w:b/>
        </w:rPr>
        <w:t>E. 20</w:t>
      </w:r>
    </w:p>
    <w:p>
      <w:r>
        <w:t>En l'espèce, le tribunal relèvera d'abord que la recourante n'a aucun antécédent en matière d'infraction à la LCI. De plus, elle a clairement manifesté au DT son intention de démolir la véranda dans ses déterminations du 6 décembre 2021, soit avant même que l'autorité ne le lui ordonne le 14 janvier 2022. En outre, il n'est pas contesté que la démolition de cette véranda a été effectuée et que son mandataire a finalement transmis le reportage photographique en question, le 11 mai 2022. Au vu de tous ces éléments, le tribunal de céans considère que si une sanction pouvait certes être infligée pour cette infraction, en l'occurrence de peu de gravité, le montant de l'amende prononcée de CHF 500.- apparait excessif au vu des circonstances. Par conséquent, il y a lieu de ramener l'amende à CHF 200.- plus conforme au principe de proportionnalité.</w:t>
      </w:r>
    </w:p>
    <w:p>
      <w:r>
        <w:rPr>
          <w:b/>
        </w:rPr>
        <w:t>E. 21</w:t>
      </w:r>
    </w:p>
    <w:p>
      <w:r>
        <w:t>Il résulte de ce qui précède que le recours sera partiellement admis.</w:t>
      </w:r>
    </w:p>
    <w:p>
      <w:r>
        <w:t>- 12/13 - A/1927/2022</w:t>
      </w:r>
    </w:p>
    <w:p>
      <w:r>
        <w:rPr>
          <w:b/>
        </w:rPr>
        <w:t>E. 22</w:t>
      </w:r>
    </w:p>
    <w:p>
      <w:r>
        <w:t>Vu cette issue, un émolument réduit de CHF 250.- sera mis à la charge de la recourante, dès lors qu'elle n'obtient que partiellement gain de cause (art. 87 al.1 LPA et 1 et 2 du règlement sur les frais, émoluments et indemnité en procédure administrative du 30 juillet 1986 – RFPA – E 5 10.03). Il est couvert par l'avance de frais. Le solde de l'avance de frais, soit CHF 100.-, lui sera restitué. Une indemnité de procédure de CHF 500.-, à la charge de l'autorité intimée, sera par ailleurs allouée à la recourante (art. 87 al. 2 LPA et 6 RFPA).</w:t>
      </w:r>
    </w:p>
    <w:p>
      <w:r>
        <w:t>- 13/13 - A/1927/2022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