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JTAPI/581/2024 vom 14. Juni 2024</w:t>
      </w:r>
    </w:p>
    <w:p>
      <w:r>
        <w:t>GE Cour de justice, 2024-06-14, FR</w:t>
      </w:r>
    </w:p>
    <w:p>
      <w:r>
        <w:rPr>
          <w:b/>
        </w:rPr>
        <w:t xml:space="preserve">Quelle: </w:t>
      </w:r>
      <w:r>
        <w:t>https://mcp.opencaselaw.ch/entscheid/ge_gerichte_JTAPI_581_2024</w:t>
      </w:r>
    </w:p>
    <w:p>
      <w:r>
        <w:t>FR: GE_GERICHTE JTAPI/581/2024 du 14 juin 2024</w:t>
      </w:r>
    </w:p>
    <w:p>
      <w:r>
        <w:t>IT: GE_GERICHTE JTAPI/581/2024 del 14 giugno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11 juin 2024 à 17h30.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w:t>
      </w:r>
    </w:p>
    <w:p>
      <w:r>
        <w:t>- 7/9 - A/1972/2024 consid. 4.1 ; 134 I 92 consid. 2.3 ; 133 II 1 consid. 5.1 ; arrêts du Tribunal fédéral 2C_672/2019 du 22 août 2019 consid. 5.4 ; 2C_263/2019 du 27 juin 2019 consid.</w:t>
      </w:r>
    </w:p>
    <w:p>
      <w:r>
        <w:rPr>
          <w:b/>
        </w:rPr>
        <w:t>E. 4</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Une mise en détention est enfin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t>- 6/9 - A/1972/2024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Pour l'exécution du renvoi, le secrétariat d'État aux migrations (ci‑après :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10</w:t>
      </w:r>
    </w:p>
    <w:p>
      <w:r>
        <w:t>En l’espèce, M. A______ fait l’objet d’une décision d’expulsion de Suisse d’une durée de 5 ans prononcée par le Tribunal de police le 21 novembre 2022 définitive et exécutoire. Il a par ailleurs été condamné pénalement à plusieurs reprises, en particulier pour brigandage, soit un crime au sens de l’art. 10 al. 2 CP. Sa détention administrative se justifie par conséquent sur la base des art. 76 al. 1 let. b ch. 1 et 75 al. 1 let. g LEI déjà, sans qu’il soit nécessaire d’analyser si sa détention pourrait également se fonder sur un autre motif.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w:t>
      </w:r>
    </w:p>
    <w:p>
      <w:r>
        <w:t>- 8/9 - A/1972/2024 l'expulsion d'étrangers du 11 août 1999 - OERE - RS 142.281). A cet égard et vu notamment le comportement que M. A______ a adopté jusqu'ici, il ne saurait ainsi être donné suite à sa conclusion subsidiaire de se voir assigner à résidence dans un foyer de l’Armée du Salut avec obligation de se présenter régulièrement devant la police ou l’OCPM. L’on rappellera encore que l’intéressé a indiqué, lors de l’audience, qu’il n’était pas d’accord de retourner au Maroc et qu’il ne dispose d’aucune autorisation lui permettant de séjourner dans un autre pays. Par ailleurs, l'autorité chargée du renvoi a agi avec diligence et célérité au sens de l'art. 76 al. 4 LEI, dès lors qu'elle a immédiatement entrepris des démarches en vue de l’exécution du renvoi de l’intéressé, ceci lors de sa détention pénale déjà, lesquelles ont abouti à son identification par les autorités marocaines. Elles restent actuellement dans l’attente de l’évaluation médicale, laquelle devrait leur parvenir rapidement si, comme le laisse entendre M. A______, il est d’accord de lever ses médecins de leur secret médical. Enfin, au vu des démarches en cours et à venir, la durée décidée de trois mois respecte l'art. 79 LEI et n'apparaît pas disproportionnée, étant rappelé les délais annoncés pour la réservation d’une place sur un vol, l’obtention du laisser-passez et de l’évaluation médicale. Cette durée est en tout état relative puisque la détention de l'intéressé prendra fin au moment où il montra dans l’avion devant le ramener au Maroc.</w:t>
      </w:r>
    </w:p>
    <w:p>
      <w:r>
        <w:rPr>
          <w:b/>
        </w:rPr>
        <w:t>E. 11</w:t>
      </w:r>
    </w:p>
    <w:p>
      <w:r>
        <w:t>Au vu de ce qui précède, il y a lieu de confirmer l'ordre de mise en détention administrative de M. A______ pour une durée de trois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A/1972/2024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