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JTAPI/57/2025 vom 20. Januar 2025</w:t>
      </w:r>
    </w:p>
    <w:p>
      <w:r>
        <w:t>GE Cour de justice, 2025-01-20, FR</w:t>
      </w:r>
    </w:p>
    <w:p>
      <w:r>
        <w:rPr>
          <w:b/>
        </w:rPr>
        <w:t xml:space="preserve">Quelle: </w:t>
      </w:r>
      <w:r>
        <w:t>https://mcp.opencaselaw.ch/entscheid/ge_gerichte_JTAPI_57_2025</w:t>
      </w:r>
    </w:p>
    <w:p>
      <w:r>
        <w:t>FR: GE_GERICHTE JTAPI/57/2025 du 20 janvier 2025</w:t>
      </w:r>
    </w:p>
    <w:p>
      <w:r>
        <w:t>IT: GE_GERICHTE JTAPI/57/2025 del 20 gennaio 2025</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16 janvier 2025 à 14h55, comme l’indique le procès-verbal d’audition (cf. à cet égard arrêts du Tribunal fédéral 2C_618/2011 du 1er septembre 2011 consid. 2 ; 2C_206/2009 du 29 avril 2009 consid. 5.1.1 et les références citées).</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w:t>
      </w:r>
    </w:p>
    <w:p>
      <w:r>
        <w:t>- 4/7 - A/149/2025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puisque les autorités sont dans l'attente d'un accord de réadmission des autorités espagnoles qui devrait intervenir tout soudain, avant qu'un vol ne soit réservé en sa faveur, à destination de l'Espagne. Par ailleurs, M. A______ a donné par écrit son consentement à ce que le tribunal statue sur son sort sans l’entendre oralement. Le tribunal se prononce donc sur la base du dossier du commissaire de police et après avoir donné la possibilité à M. A______,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Selon l'art. 76 al. 1 let. b ch. 1 LEI, en lien avec l'art. 75 al. 1 let. b LEI, une mesure de détention administrative peut être ordonnée si une décision de renvoi ou d'expulsion a été notifiée à l'intéressé et que celui-ci quitte la région qui lui est assignée ou pénètre dans une zone qui lui est interdite en vertu de l’art. 74.</w:t>
      </w:r>
    </w:p>
    <w:p>
      <w:r>
        <w:rPr>
          <w:b/>
        </w:rPr>
        <w:t>E. 9</w:t>
      </w:r>
    </w:p>
    <w:p>
      <w:r>
        <w:t>En l'espèce, M. A______ fait l'objet d'une décision de renvoi de Suisse prononcée le 16 janvier 2025 ainsi que d’une interdiction de pénétrer dans le canton de Genève prise à son encontre le 27 novembre 2024, valablement notifiée, et qu’il n’a pas respectée.</w:t>
      </w:r>
    </w:p>
    <w:p>
      <w:r>
        <w:t>- 5/7 - A/149/2025</w:t>
      </w:r>
    </w:p>
    <w:p>
      <w:r>
        <w:rPr>
          <w:b/>
        </w:rPr>
        <w:t>E. 10</w:t>
      </w:r>
    </w:p>
    <w:p>
      <w:r>
        <w:t>La détention administrative est ainsi fondée dans son principe.</w:t>
      </w:r>
    </w:p>
    <w:p>
      <w:r>
        <w:rPr>
          <w:b/>
        </w:rPr>
        <w:t>E. 11</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12</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 3.1 ; 2C_756/2009 du 15 décembre 2009 consid. 2.1).</w:t>
      </w:r>
    </w:p>
    <w:p>
      <w:r>
        <w:rPr>
          <w:b/>
        </w:rPr>
        <w:t>E. 13</w:t>
      </w:r>
    </w:p>
    <w:p>
      <w:r>
        <w:t>Par ailleurs, 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w:t>
      </w:r>
    </w:p>
    <w:p>
      <w:r>
        <w:rPr>
          <w:b/>
        </w:rPr>
        <w:t>E. 14</w:t>
      </w:r>
    </w:p>
    <w:p>
      <w:r>
        <w:t>En l'espèce, compte tenu du fait que M. A______ n’a pas respecté l'interdiction qui lui a été faite de pénétrer dans le canton de Genève, qu'il a déclaré ne pas être d'accord de retourner en Espagne et qu'il n'a aucune attache avec la Suisse, on ne voit pas pour quelles raisons, s’il était remis en liberté, il respecterait davantage cette interdiction, retournerait en Espagne et changerait de comportement. Sa détention administrative paraît être le seul moyen d’assurer son renvoi vers ce pays. Le fait que M. A______ ait indiqué, dans ses observations du 17 janvier 2025, qu'il était d'accord de retourner en Espagne, apparaît plus dicté par des motifs procéduraux que par un réel désir de quitter le territoire suisse pour son pays d'accueil. Par ailleurs, il est peu vraisemblable que son refus de retourner en Espagne, tel que protocolé dans le procès-verbal d'audition du 16 janvier 2025, soit dû à une incompréhension faute d'interprète présent. En effet, interrogé par la police préalablement, M. A______ a clairement indiqué ne pas avoir besoin d'un traducteur. Par ailleurs, son origine parle en faveur d'une bonne compréhension de la langue française. Enfin, les autorités suisses ont agi avec toute la diligence possible dès lors qu'elles ont immédiatement procédé à la demande de réadmission requise. A cet effet, le tribunal relèvera que s'il est certes vrai que la réadmission doit se faire sans formalité selon l'art. 5 de l'Accord, celui-ci prévoit expressément une procédure de réadmission dans son protocole d'application (art. 7 ch. 2 de l'Accord et art. 1 ss du protocole), procédure qui a été appliquée à la lettre par les autorités genevoises. M. A______ ne peut ainsi pas être remis dans un avion à</w:t>
      </w:r>
    </w:p>
    <w:p>
      <w:r>
        <w:t>- 6/7 - A/149/2025 destination de l'Espagne sans qu'une demande préalable n'ait été effectuée auprès des autorités espagnoles compétentes, lesquelles doivent encore donner leur accord formel à la réadmission, avant qu'un vol puisse être réservé en faveur de l'intéressé.</w:t>
      </w:r>
    </w:p>
    <w:p>
      <w:r>
        <w:rPr>
          <w:b/>
        </w:rPr>
        <w:t>E. 15</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16</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17</w:t>
      </w:r>
    </w:p>
    <w:p>
      <w:r>
        <w:t>En l’espèce, eu égard à l'ensemble des circonstances, il y a lieu de confirmer l'ordre de mise en détention administrative pour une durée de quatre semaines, qui respecte l'art. 79 LEI et n'apparaît pas disproportionnée, étant rappelé que la détention prendra fin au moment du renvoi mais que si, pour une raison ou une autre, ce renvoi devait ne pas pouvoir se concrétiser rapidement, cette durée permettra aux autorités, cas échéant, de solliciter la prolongation de la détention.</w:t>
      </w:r>
    </w:p>
    <w:p>
      <w:r>
        <w:rPr>
          <w:b/>
        </w:rPr>
        <w:t>E. 18</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24 janvier 2025 au plus tard, si l'exécution du renvoi s'est concrétisée ou non.</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