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JTAPI/577/2024 vom 13. Juni 2024</w:t>
      </w:r>
    </w:p>
    <w:p>
      <w:r>
        <w:t>GE Cour de justice, 2024-06-13, FR</w:t>
      </w:r>
    </w:p>
    <w:p>
      <w:r>
        <w:rPr>
          <w:b/>
        </w:rPr>
        <w:t xml:space="preserve">Quelle: </w:t>
      </w:r>
      <w:r>
        <w:t>https://mcp.opencaselaw.ch/entscheid/ge_gerichte_JTAPI_577_2024</w:t>
      </w:r>
    </w:p>
    <w:p>
      <w:r>
        <w:t>FR: GE_GERICHTE JTAPI/577/2024 du 13 juin 2024</w:t>
      </w:r>
    </w:p>
    <w:p>
      <w:r>
        <w:t>IT: GE_GERICHTE JTAPI/577/2024 del 13 giugno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Aux termes de l’art. 64 al. 1 LEI, les autorités compétentes rendent une décision de renvoi ordinaire à l'encontre d'un étranger qui n'a pas d'autorisation alors qu'il y est tenu (lat. a), d'un étranger qui ne remplit pas ou ne remplit plus les conditions d'entrée en Suisse (art. 5) (let. b) d'un étranger auquel une autorisation est refusée ou dont l'autorisation, bien que requise, est révoquée ou n'est pas prolongée après un séjour autorisé (let. c). Conformément à l'art. 64 al. 3 LEI, cette décision peut faire l'objet d'un recours dans les cinq jours ouvrables suivant sa notification.</w:t>
      </w:r>
    </w:p>
    <w:p>
      <w:r>
        <w:rPr>
          <w:b/>
        </w:rPr>
        <w:t>E. 6</w:t>
      </w:r>
    </w:p>
    <w:p>
      <w:r>
        <w:t>En l’espèce, la recourante reconnait séjourner illégalement en Suisse depuis son arrivée à Genève en avril 2023, n’ayant entrepris aucune démarche en vue d’obtenir une autorisation de séjour et régulariser sa situation. Dès lors, force est de constater que l’autorité n’avait d’autre choix que de prononcer son renvoi de Suisse et de l’espace Schengen en application de l’art. 64 LEI.</w:t>
      </w:r>
    </w:p>
    <w:p>
      <w:r>
        <w:t>- 5/6 - A/567/2024 Comme indiqué par l’OCPM dans ses écritures, les arguments soulevés par la recourante en lien avec sa situation sont des éléments qui devraient être analysés dans le cadre d’une demande d’autorisation de séjour, particulièrement pour cas de rigueur, que la recourante était invitée par l’OCPM à déposer auprès de lui. Or, force est de constater que la recourante n’a pas déposé un telle demande, et séjourne donc toujours de matière totalement illégale en Suisse. Il lui appartient d’entamer ces démarches si elle estime pouvoir bénéficier d’une telle autorisation de séjour.</w:t>
      </w:r>
    </w:p>
    <w:p>
      <w:r>
        <w:rPr>
          <w:b/>
        </w:rPr>
        <w:t>E. 7</w:t>
      </w:r>
    </w:p>
    <w:p>
      <w:r>
        <w:t>Ainsi, le recours, en tous points mal fondé, sera rejeté.</w:t>
      </w:r>
    </w:p>
    <w:p>
      <w:r>
        <w:rPr>
          <w:b/>
        </w:rPr>
        <w:t>E. 8</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9</w:t>
      </w:r>
    </w:p>
    <w:p>
      <w:r>
        <w:t>En vertu des art. 89 al. 2 et 111 al. 2 de la loi sur le Tribunal fédéral du 17 juin 2005 (LTF - RS 173.110), le présent jugement sera communiqué au secrétariat d'État aux migrations.</w:t>
      </w:r>
    </w:p>
    <w:p>
      <w:r>
        <w:t>- 6/6 - A/567/2024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