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JTAPI/574/2024 vom 13. Juni 2024</w:t>
      </w:r>
    </w:p>
    <w:p>
      <w:r>
        <w:t>GE Cour de justice, 2024-06-13, FR</w:t>
      </w:r>
    </w:p>
    <w:p>
      <w:r>
        <w:rPr>
          <w:b/>
        </w:rPr>
        <w:t xml:space="preserve">Quelle: </w:t>
      </w:r>
      <w:r>
        <w:t>https://mcp.opencaselaw.ch/entscheid/ge_gerichte_JTAPI_574_2024</w:t>
      </w:r>
    </w:p>
    <w:p>
      <w:r>
        <w:t>FR: GE_GERICHTE JTAPI/574/2024 du 13 juin 2024</w:t>
      </w:r>
    </w:p>
    <w:p>
      <w:r>
        <w:t>IT: GE_GERICHTE JTAPI/574/2024 del 13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- 6/13 - A/2888/2023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Joel DRITTENBASS, op. cit., p. 141-142).</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w:t>
      </w:r>
    </w:p>
    <w:p>
      <w:r>
        <w:t>- 10/13 - A/2888/2023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w:t>
      </w:r>
    </w:p>
    <w:p>
      <w:r>
        <w:rPr>
          <w:b/>
        </w:rPr>
        <w:t>E. 3</w:t>
      </w:r>
    </w:p>
    <w:p>
      <w:r>
        <w:t>Pour qu’un recours soit recevable, encore faut-il que son auteur ait la qualité pour recourir.</w:t>
      </w:r>
    </w:p>
    <w:p>
      <w:r>
        <w:rPr>
          <w:b/>
        </w:rPr>
        <w:t>E. 3.2</w:t>
      </w:r>
    </w:p>
    <w:p>
      <w:r>
        <w:t>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valeurs limites devraient être modifiées (arrêts du Tribunal fédéral 1C_375/2020 du 5 mai 2021 consid. 3.2.5 ; 1C_518/2018 du 14 avril 2020 ; 1C_348/2017 du 21 février 2018 consid. 4.3 ; 1C_323/2017 du 15 janvier 2018 consid. 2.5). 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w:t>
      </w:r>
    </w:p>
    <w:p>
      <w:r>
        <w:t>En l'espèce, les recourants sont domiciliés à l'intérieur du périmètre d'opposition mentionné tant dans la fiche de données spécifique au site du 20 septembre 2022. Ils disposent dès lors manifestement de la qualité pour recourir. Le recours est ainsi également recevable de ce point de vue.</w:t>
      </w:r>
    </w:p>
    <w:p>
      <w:r>
        <w:rPr>
          <w:b/>
        </w:rPr>
        <w:t>E. 6</w:t>
      </w:r>
    </w:p>
    <w:p>
      <w:r>
        <w:t>À titre préalable, les recourants sollicitent le prononcé d'une expertise judiciaire tendant à vérifier le respect des normes applicables et en particulier l'exactitude des calculs effectués par la constructrice. Ils demandent également que la constructrice soit interpellée afin qu'elle démontre que la puissance émettrice de l'installation litigieuse ne pourra pas être augmentée à l'avenir et qu'elle respectera ainsi les exigences en matière de contrôle à long terme du respect des valeurs limite.</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8</w:t>
      </w:r>
    </w:p>
    <w:p>
      <w:r>
        <w:t>Les résultats issus d’une expertise privée réalisée sont soumis au principe de la libre appréciation des preuves et sont considérés comme des simples allégués de parties</w:t>
      </w:r>
    </w:p>
    <w:p>
      <w:r>
        <w:t>- 7/13 - A/2888/2023 (ATF 142 II 355 consid. 6 ; arrêt du Tribunal fédéral 1C_507/2022 du 13 juin 2022 consid. 3.2).</w:t>
      </w:r>
    </w:p>
    <w:p>
      <w:r>
        <w:rPr>
          <w:b/>
        </w:rPr>
        <w:t>E. 9</w:t>
      </w:r>
    </w:p>
    <w:p>
      <w:r>
        <w:t>En l'espèce, pour que le tribunal ordonne une expertise judiciaire visant en particulier à vérifier l'exactitude des calculs effectués par l'intimée, il conviendrait que des indices permettent de douter de cette exactitude. À défaut de tels doutes, il n'est en effet pas possible de remettre en question par la voie d'expertise judiciaire, par principe, l'ensemble des décisions de nature technique soumises au contrôle des tribunaux. Or, les recourants ne présentent aucun élément permettant en l'occurrence de douter de l'exactitude de ces calculs. Il n'y a donc pas lieu de prononcer l'expertise requise. Quant au fait que l'intimée devrait démontrer qu'elle respectera à l'avenir les valeurs limite, on voit mal comment elle pourrait apporter une telle preuve et les recourants ne s'en expliquent pas non plus. Il sera au surplus rappelé que l'examen de la légalité d'une autorisation de construire se fonde sur l'objet tel qu'il est autorisé, en partant de l'idée qu'il sera construit conformément à l'autorisation et exploité pareillement. Par conséquent, il n'y a pas lieu de procéder aux mesures d'instruction requises.</w:t>
      </w:r>
    </w:p>
    <w:p>
      <w:r>
        <w:rPr>
          <w:b/>
        </w:rPr>
        <w:t>E. 10</w:t>
      </w:r>
    </w:p>
    <w:p>
      <w:r>
        <w:t>Sur le fond, les recourants font tout d'abord valoir un grief de nature formelle lié à la violation de leur droit d'être entendu, dont le contenu a été rappelé ci-dessus.</w:t>
      </w:r>
    </w:p>
    <w:p>
      <w:r>
        <w:rPr>
          <w:b/>
        </w:rPr>
        <w:t>E. 11</w:t>
      </w:r>
    </w:p>
    <w:p>
      <w:r>
        <w:t>Selon l'art. 3 LCI, toutes les demandes d’autorisation sont rendues publiques par une insertion dans la FAO. Il est fait mention, le cas échéant, des dérogations nécessaires (al. 1). Pendant un délai de 30 jours à compter de la publication, chacun peut consulter les demandes d’autorisation et les plans au département et lui transmettre ses observations par une déclaration écrite (al. 2).</w:t>
      </w:r>
    </w:p>
    <w:p>
      <w:r>
        <w:rPr>
          <w:b/>
        </w:rPr>
        <w:t>E. 12</w:t>
      </w:r>
    </w:p>
    <w:p>
      <w:r>
        <w:t>En l'occurrence, la requête relative au projet querellé a été publiée dans la FAO du ______ 2023. Par conséquent, les recourants ont été dûment informés, selon les modalités prévues par la loi, du dépôt de la requête, de la possibilité de consulter le dossier de cette dernière et enfin et de la possibilité d'adresser des observations au département dans un délai de 30 jours. Il ne découle ni du droit d'être entendu au sens de l'art. 29 al. 2 Cst., ni des dispositions précitées de la LCI, qu'en sus, il eût appartenu au département d'organiser des séances d'information. Certes, l'art. 15 al. 1 RPRNI prévoit que les habitants concernés vivant au voisinage sont informées, de manière appropriée, par l'exploitant ou le propriétaire de la mise en place d'installations stationnaires de téléphonie mobile et des modifications apportées à des installations existantes, sur l'immeuble. Cet article vise cependant l'information que l'exploitant ou le propriétaire doit fournir concernant la mise en place d'installation de téléphonie mobile et ne constitue pas une obligation de l'autorité, que ce soit en amont ou en aval de la délivrance de l'autorisation de construire. En outre, l'autorité intimée a dûment tenu compte de cette obligation d'information de l'exploitant ou propriétaire, puisque l'autorisation litigieuse elle-même la rappelle et exige que les occupants des LUS du voisinage de</w:t>
      </w:r>
    </w:p>
    <w:p>
      <w:r>
        <w:t>- 8/13 - A/2888/2023 l'installation soient informés de la mise en place de celle-ci (ATA/434/2024 du 26 mars 2024 consid. 4.4). Au surplus, les recourants ne sauraient, dans le cadre du présent recours, se plaindre de la lésion d’intérêts d’autres personnes, dès lors que le recours d’un particulier formé dans l’intérêt général ou dans l’intérêt de tiers est irrecevable (ATF 133 II 468 consid. 1 ; 131 II 649 consid. 3.1 ; arrêt du Tribunal fédéral 1C_463/2007 du 29 février 2008 consid. 1.2 ; ATA/50/2012 du 24 janvier 2012 consid. 8 ; Thierry TANQUEREL, Manuel de droit administratif, 2018, ch. 1358 p. 456). Par conséquent, en tant qu'il est dirigé contre cette décision, le grief de violation du droit d'être entendu s'avère infondé et sera rejeté.</w:t>
      </w:r>
    </w:p>
    <w:p>
      <w:r>
        <w:rPr>
          <w:b/>
        </w:rPr>
        <w:t>E. 13</w:t>
      </w:r>
    </w:p>
    <w:p>
      <w:r>
        <w:t>Les recourants se plaignent ensuite d'une violation de l'obligation de planifier. Se contentant d'exposer les raisons pour lesquelles une telle planification serait à leur avis nécessaire (c'est-à-dire en raison d'une prolifération désordonnée des installations de téléphonie mobile), ils n'exposent pas quelles seraient les bases légales dont elles prétendent tirer une telle obligation. Il découle en revanche de la jurisprudence du Tribunal fédéral, citée par les parties intimées, que les installations de communication mobile n'ont en principe pas besoin de faire l'objet d'une planification spéciale, en particulier lorsqu'elles sont érigées en zone constructible (ATF 142 I 26 consid. 4.2; ATF 138 II 173 consid. 5). Il en découle que ce grief est lui aussi infondé et qu'il devra être écarté.</w:t>
      </w:r>
    </w:p>
    <w:p>
      <w:r>
        <w:rPr>
          <w:b/>
        </w:rPr>
        <w:t>E. 14</w:t>
      </w:r>
    </w:p>
    <w:p>
      <w:r>
        <w:t>Les recourants se plaignent ensuite d'une violation du principe de précaution.</w:t>
      </w:r>
    </w:p>
    <w:p>
      <w:r>
        <w:rPr>
          <w:b/>
        </w:rPr>
        <w:t>E. 15</w:t>
      </w:r>
    </w:p>
    <w:p>
      <w:r>
        <w:t>La Confédération veille à prévenir les atteintes nuisibles ou incommodantes pour l'être humain et son environnement naturel (art. 74 al. 2 Cst.). Comme déjà mentionné, les atteintes qui pourraient devenir nuisibles ou incommodantes seront réduites à titre préventif et assez tôt (art. 1 al. 2 LPE).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w:t>
      </w:r>
    </w:p>
    <w:p>
      <w:r>
        <w:rPr>
          <w:b/>
        </w:rPr>
        <w:t>E. 16</w:t>
      </w:r>
    </w:p>
    <w:p>
      <w:r>
        <w:t>De jurisprudence constante, le principe de prévention est réputé respecté en cas de conformité de la VLInst dans les LUS où cette valeur s'applique (ATF 126 II 399 consid. 3c ; ATF 133 II 64 consid. 5.2 ; arrêt 1A.68/2005 du 26 janvier 2006 consid.</w:t>
      </w:r>
    </w:p>
    <w:p>
      <w:r>
        <w:t>- 9/13 - A/2888/2023</w:t>
      </w:r>
    </w:p>
    <w:p>
      <w:r>
        <w:rPr>
          <w:b/>
        </w:rPr>
        <w:t>E. 17</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(DETEC, Rapport « Téléphonie mobile et rayonnement » du 18 novembre 2019, p. 8-9). 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https://www.newsd.admin.ch/newsd/message/attachments/71991.pdf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w:t>
      </w:r>
    </w:p>
    <w:p>
      <w:r>
        <w:rPr>
          <w:b/>
        </w:rPr>
        <w:t>E. 18</w:t>
      </w:r>
    </w:p>
    <w:p>
      <w:r>
        <w:t>Par ailleurs, la Cour européenne des droits de l’homme a en particulier confirmé, sous l'angle de l'art. 8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19</w:t>
      </w:r>
    </w:p>
    <w:p>
      <w:r>
        <w:t>Il en découle qu'en l'état actuel des connaissances scientifiques, il n'est pas possible d'invoquer le principe de prévention pour s'opposer à la technologie 5G, dès lors</w:t>
      </w:r>
    </w:p>
    <w:p>
      <w:r>
        <w:t>- 11/13 - A/2888/2023 que les valeurs-limites prévues par l'ORNI sont concrètement respectées (ATA/415/2022 du 26 avril 2022 consid. 6).</w:t>
      </w:r>
    </w:p>
    <w:p>
      <w:r>
        <w:rPr>
          <w:b/>
        </w:rPr>
        <w:t>E. 20</w:t>
      </w:r>
    </w:p>
    <w:p>
      <w:r>
        <w:t>Selon une jurisprudence bien établie, les autorités de recours observent une certaine retenue pour éviter de substituer leur propre appréciation à celle des instances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21</w:t>
      </w:r>
    </w:p>
    <w:p>
      <w:r>
        <w:t>En l'espèce, d'après la fiche de données spécifique au site du 20 septembre 2022 la VLInst à respecter est celle prévue à l'art. 3 al. 3 let. c ORNI, soit 5.0 V/m, étant relevé qu'aucune antenne adaptative n'est prévue. S'agissant du rayonnement dans les LUS les plus chargés - soit les nos 4______, 5______, 6______ 7______ et 8______ toutes les mesures présentent une intensité de champ électrique ,inférieure à 5.0 V/m. Ces mesures ont été vérifiées par le SABRA, autorité spécialisée compétente, sans que celle-ci n'ait mis en doute leur véracité. En l'absence d'éléments indiquant le contraire, il n'y a pas lieu pour le tribunal de céans de les remettre en cause. À cet égard, s'agissant de la mesure différente présentée par les recourants pour le LUS n° 4______ il convient de rappeler que ce LUS fera quoiqu'il en soit l'objet d'un mesurage de contrôle par l'opérateur afin de vérifier qu'il respecte les normes de l'ORNI, conformément aux conditions imposées par le SABRA et reprises dans l'autorisation de construire litigieuse. La prétendue différence de mesure n'est donc pas déterminante en l'espèce. Concernant l'éventuelle prise en compte d'une accumulation, il ressort des explications du département qu'un tel calcul n'était pas nécessaire aux yeux du SABRA. En outre, les recourants ne parviennent pas à démontrer à satisfaction de droit en quoi la position de l'instance spécialisée serait infondée, de sorte que rien ne permet au tribunal de remettre cette position en cause.</w:t>
      </w:r>
    </w:p>
    <w:p>
      <w:r>
        <w:t>À la lumière des données de la fiche de données spécifique au site du 20 septembre 2022, le permis de construire garantit toujours le respect des valeurs limites pertinentes, notamment par le biais des conditions associées comprises dans le préavis du SABRA, en particulier une mesure de contrôle aux LUS nos 4______, 5______, 6______, 7______ et 8______ et une intégration de cette installation dans le système AQ de l'opérateur.</w:t>
      </w:r>
    </w:p>
    <w:p>
      <w:r>
        <w:t>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w:t>
      </w:r>
    </w:p>
    <w:p>
      <w:r>
        <w:t>Ainsi, en octroyant l'autorisation de construire sur la base de la prévision que l'installation respecterait les VLInst, moyennant les réserves émises dans le préavis</w:t>
      </w:r>
    </w:p>
    <w:p>
      <w:r>
        <w:t>- 12/13 - A/2888/2023 du SABRA, et vu l'examen opéré par cette instance de la fiche de données spécifique, la décision du département est conforme au droit fédéral.</w:t>
      </w:r>
    </w:p>
    <w:p>
      <w:r>
        <w:t>Partant, les VLInst sont respectées dans la présente espèce et dès lors le principe de précaution n'a pas été violé. Le grief est donc écarté.</w:t>
      </w:r>
    </w:p>
    <w:p>
      <w:r>
        <w:rPr>
          <w:b/>
        </w:rPr>
        <w:t>E. 22</w:t>
      </w:r>
    </w:p>
    <w:p>
      <w:r>
        <w:t>Les recourants se plaignent pour finir de l'absence d'un système d'assurance qualité et de contrôle des valeurs limite sur le long terme. En réalité, pour fonder ce grief, les recourants font un procès d'intention à la bénéficiaire de l'autorisation de construire, partant apparemment de l'idée qu'elle ne respectera pas les conditions posées par la décision litigieuse, lesquels reprennent celles du SABRA et imposent précisément à l'intimée, à la fois d'intégrer l'installation litigieuse dans son système d'assurance qualité et de contrôler les valeurs limite sur le long terme.</w:t>
      </w:r>
    </w:p>
    <w:p>
      <w:r>
        <w:t>Le tribunal ne peut examiner un grief qui se fonde uniquement sur l'hypothèse que l'autorisation en cause ne sera pas respectée (ATA/62/2020 du 21 janvier 2020 consid. 3). Par conséquent, ce grief sera lui aussi rejeté.</w:t>
      </w:r>
    </w:p>
    <w:p>
      <w:r>
        <w:rPr>
          <w:b/>
        </w:rPr>
        <w:t>E. 23</w:t>
      </w:r>
    </w:p>
    <w:p>
      <w:r>
        <w:t>S'agissant de la remarque des recourants sur le fait que le département semblerait être une personne morale, dès lors qu'il apparait sur le site de l'entreprise américaine Dun &amp; Bradstreet, et qu'il existerait, selon eux, des doutes sur l'existence d'éventuels liens d'intérêts entre la requérante et cette autorité, outre le fait que ces allégations ne sont pas démontrées, les recourants perdent de vue que le département est une subdivision de l'administration cantonale (administration centralisée) et est légalement constitué selon les formes prévues par le droit cantonal (art. 1 al. 1 et 6 du règlement sur l’organisation de l’administration cantonale du 1er juin 2018 – [ROAC - B 4 05.10]). Rien ne permet de démontrer ni même d'affirmer qu'il existerait d'éventuels liens d'intérêt entre le département et la requérante.</w:t>
      </w:r>
    </w:p>
    <w:p>
      <w:r>
        <w:rPr>
          <w:b/>
        </w:rPr>
        <w:t>E. 24</w:t>
      </w:r>
    </w:p>
    <w:p>
      <w:r>
        <w:t>Enfin, concernant la remarque des recourants sur le fait que l'installation en cause émettrait déjà des ondes 5G, force est de constater que cette question s'écarte manifestement de l'objet du litige.</w:t>
      </w:r>
    </w:p>
    <w:p>
      <w:r>
        <w:rPr>
          <w:b/>
        </w:rPr>
        <w:t>E. 25</w:t>
      </w:r>
    </w:p>
    <w:p>
      <w:r>
        <w:t>Intégralement non fondé, le recours sera rejeté.</w:t>
      </w:r>
    </w:p>
    <w:p>
      <w:r>
        <w:rPr>
          <w:b/>
        </w:rPr>
        <w:t>E. 26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- 13/13 - A/2888/2023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